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1年7月</w:t>
      </w:r>
      <w:r>
        <w:rPr>
          <w:rFonts w:ascii="方正小标宋简体" w:hAnsi="黑体" w:eastAsia="方正小标宋简体" w:cs="仿宋"/>
          <w:bCs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ascii="仿宋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（当月办结的属实及部分属实案例）</w:t>
      </w:r>
    </w:p>
    <w:tbl>
      <w:tblPr>
        <w:tblStyle w:val="12"/>
        <w:tblW w:w="20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600"/>
        <w:gridCol w:w="6542"/>
        <w:gridCol w:w="9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被投诉举报单位</w:t>
            </w:r>
          </w:p>
        </w:tc>
        <w:tc>
          <w:tcPr>
            <w:tcW w:w="6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反映事项</w:t>
            </w:r>
          </w:p>
        </w:tc>
        <w:tc>
          <w:tcPr>
            <w:tcW w:w="9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table2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国网北京市电力公司海淀供电公司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北京市海淀区群众反映，其居住地每逢恶劣天气便停电，已持续1年多，多次联系95598供电服务热线未解决，希望尽快解决。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因供电企业工作人员巡视运维不到位，未及时发现线路设备故障，导致频繁停电。已督促供电企业及时修复用电设备，同时增加对架空线路特巡，及时排查隐患，减少停电事件发生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国网内蒙古东部电力有限公司通辽供电公司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通辽市库伦旗群众反映，其居住地频繁停电，已持续2年，联系供电企业和95598供电服务热线均未解决，希望尽快解决。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停电检修计划的管理，加强线路设备的巡视和运行维护管理，同时通过技改大修项目对雷区地段线路加装避雷器装置，有效提升电网应对自然灾害的能力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国网吉林省电力有限公司松原供电公司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松原市宁江区群众反映，其居住地频繁停电，已持续1、2年，联系供电企业未解决，希望尽快解决。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已督促供电企业加强线路隐患治理，加强对设备的运行维护，对发现缺陷和隐患及时进行治理，加强抢修能力，做好突发故障的应急预案，不断提高供电质量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哈尔滨市香坊区群众反映，其居住地频繁停电，已持续2年多，多次反映均未得到彻底解决，希望尽快解决。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已督促供电企业积极协调当地政府和开发商进行线路改造，预计2021年9月份完成送电，届时将彻底解决频繁停电问题，目前对该区域加强巡视及日常维护工作，及时消缺，不断提高供电质量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国网黑龙江省电力有限公司双鸭山供电公司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双鸭山市集贤县群众反映，其居住地每年夏季频繁停电，已持续2年左右，联系95598供电服务热线未彻底解决，希望尽快解决。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由于当事人所在地供电设备不符合接收标准，供电企业无法直接投资对该小区进行改造，只能本着优质服务的原则，在故障发生时提供免费抢修服务。已督促供电企业加强计划停电管理，综合安排检修计划，做到“一停多用”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安徽耐得电力工程有限公司、安徽海耀建设工程有限公司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宿州市砀山县群众反映，安徽耐得电力工程有限公司、安徽海耀建设工程有限公司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申报承装（修、试）电力设施许可证时，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未经同意使用其电工证，希望尽快解决。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两家涉事企业在申请承装（修、试）电力设施许可证过程中，使用其他企业员工的电工证，存在提供虚假申请材料的情况。已督促两家企业在资质和信用信息系统中为当事人解除绑定证件，依据有关规定对两家企业作出行政处罚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国网江西省电力有限公司吉安供电公司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吉安市永新县群众反映，其居住地频繁停电已持续1个月左右，且每次停电后恢复供电时均出现高电压现象，希望尽快解决。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经调查，反映事项属实。当事人所在地因受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灾害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性天气影响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，以及巡检人员工作不到位，未及时发现线路设备故障，导致频繁停电和高电压。已督促供电企业进行整改，清除线路周边树障，同时加快线路改造，彻底解决线路频繁停电及高电压现象。当事人表示满意。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国网江西省电力有限公司宜春供电公司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宜春市袁州区群众反映，其居住地线路老化，且周边有树障，存在安全隐患，联系 95598供电服务热线未处理，希望尽快解决。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经调查，反映事项属实。已督促供电企业清除线路周边树障，加强对线路设备的巡视，加快线路改造，彻底消除线路安全隐患，并将具体情况向当事人解释说明。当事人表示满意。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国网河南省电力公司平顶山供电公司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平顶山市鲁山县群众反映，其居住地线路老化，每逢恶劣天气便停电，已持续3至5年，联系95598供电服务热线未解决，希望尽快解决。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线路老旧和巡检人员工作不到位，未及时发现线路设备故障，导致频繁停电。已督促供电企业加快线路改造，加强巡检，及时消除发现的线路设备缺陷。供电企业已对相关责任人进行经济处罚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国网湖北省电力有限公司黄冈供电公司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黄冈市麻城市群众反映，其居住地频繁停电，已持续10余年，多次联系供电企业和95598供电服务热线均未彻底解决，希望尽快解决。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计划检修和多次进行外部施工、发生交通事故造成设备故障，导致频繁停电。已督促供电企业合理安排施工计划，严格执行计划停电审批制度，在易发交通事故路段贴警示标志牌，在必要处加装防撞桶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国网湖北省电力有限公司武汉供电公司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武汉市江夏区群众反映，其居住地频繁停电已持续1个月，希望尽快解决。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受持续灾害性天气影响，线路设备经常发生故障，导致频繁停电。已督促供电企业加大对线路、设备的巡视力度，掌握设备运行工况，缩小停电范围，避免影响居民正常供电,并就停电给当事人造成的影响表示歉意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国网湖北省电力有限公司宜昌供电公司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宜昌市长阳土家族自治县群众反映，其居住地因线路老化和变压器容量不足，导致低电压，已持续4、5年，联系95598供电服务热线，告知会新架设变压器，但一直未架设，希望尽快解决。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供电半径大、线径细，造成低电压。目前，供电企业已申报低电压增容项目，计划新建电力线路及设备。已督促供电企业尽快完成施工，彻底解决当事人所在地低电压问题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国网湖南省电力有限公司常德供电公司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常德市桃源县群众反映，其居住地低电压，已持续5、6年，多次联系95598供电服务热线，均告知会解决但未解决，希望尽快解决。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经调查，反映事项属实。当事人所在地距离变压器较远，线径过细，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用电负荷逐年增大，供电线路已不能满足现有的用电需求，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导致低电压。已督促供电企业加快农网改造，同时采取临时处置措施，暂时缓解低电压问题，并将上述情况告知当事人。当事人表示满意。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国网湖南省电力有限公司永州供电公司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永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州市零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陵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区群众反映，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其居住地低电压，已持续1年，多次联系供电企业均未解决，希望尽快解决。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经调查，反映事项属实。当事人所在地线路老化，线径过细、供电半径过长，用电负荷逐年提升，导致低电压。已督促供电企业加快对线路进行升级改造，彻底解决低电压的问题。当事人表示满意。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湖南郴电国际发展股份有限公司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郴州市临武县群众反映，其商铺频繁停电已持续1年，联系96595供电服务热线未解决，希望尽快解决。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线路老旧，且巡检人员工作不到位，未及时发现线路设备故障，导致频繁停电。已督促供电企业加强巡检，加强对线路和设备存在的隐患和缺陷的排查处理，提高供电可靠性，同时加快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架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新线路并投入运行，彻底解决频繁停电问题。当事人表示满意。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荣尔电气股份有限公司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衡阳市西渡高新技术产业园群众反映，荣尔电气股份有限公司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申报承装（修、试）电力设施许可证时，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未经同意使用其电工证，希望尽快解决。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经调查，反映事项属实。荣尔电气股份有限公司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在申报承装（修、试）电力设施许可证时，使用了其他企业员工的电工证。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已督促该企业在资质和信用信息系统中为当事人解除绑定证件，并撤销该企业承装（修、试）电力设施许可。当事人表示满意。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南方电网广东电网公司湛江供电局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湛江市雷州市群众反映，其居住地低电压已持续2、3年，多次联系供电企业及95598供电服务热线未解决，希望尽快解决。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供电半径较大，用电负荷逐年提升，导致低电压。已督促供电企业积极协调村委会落实线路改造方案，彻底解决低电压问题。目前通过日常维修项目，增大低压导线线径，暂时解决低电压问题。已将上述情况告知当事人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深圳睿能电力工程有限公司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圳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宝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安区群众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反映，深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圳睿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能电力工程有限公司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申报承装（修、试）电力设施许可证时，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未经同意使用其电力工程中级职称证，希望尽快解决。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经调查，反映事项属实。深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圳睿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能电力工程有限公司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在申报承装（修、试）电力设施许可证时，使用了非本企业员工的电工证。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已督促该企业在资质和信用信息系统中为当事人解绑证件，将该企业纳入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投诉举报企业清单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后续进行查处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深圳市高力特实业有限公司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深圳市龙岗区群众反映，深圳市高力特实业有限公司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申报承装（修、试）电力设施许可证时，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未经同意使用其高压电工证，希望尽快解决。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经调查，反映事项属实。深圳市高力特实业有限公司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在当事人离职后，未及时在资质和信用信息系统上解绑其证件。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已督促该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企业在系统上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为当事人解绑证件，并将问题纳入后续监管企业名单，根据监管情况另行处理。当事人表示满意。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阳江中电工程有限公司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阳江市江城区群众反映，阳江中电工程有限公司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申报承装（修、试）电力设施许可证时，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未经同意使用其高压电工证，希望尽快解决。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经调查，反映事项属实。阳江中电工程有限公司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在员工离职后，未及时在资质和信用信息系统上解绑其证件。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已督促该企业在资质和信用信息系统中为当事人解绑证件，并将该企业纳入重点监管对象，根据监管情况另行处理。已将上述情况告知当事人，当事人表示满意。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南方电网广西电网公司桂林供电局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桂林市灵川县群众反映，其工厂长期低电压，联系供电企业，告知线路故障但未解决，希望尽快解决。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经调查，反映事项部分属实。当事人所在地因检修更换供电线路后，供电半径变长，造成低电压。已督促供电企业尽快恢复原供电运行方式，并将具体情况向当事人解释说明。当事人表示满意。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南方电网广西电网公司南宁供电局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南宁市横县群众反映，其居住地低电压，已持续1年左右，联系供电企业及95598供电服务热线未解决，希望尽快解决。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线路线径过小，随着用电量激增，造成低电压。已督促供电企业积极与当地村委会沟通协调，尽快落实解决方案。目前，供电企业已完成改造线路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广西新电力投资集团有限责任公司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南宁市良庆区群众反映，其居住地频繁停电，联系95598供电服务热线，告知正在抢修，但未彻底解决，希望尽快解决。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供电半径较大，用电负荷逐年提升，导致低电压。已督促供电企业加快线路改造，加大线路周边树障清理工作，逐步解决线路频繁跳闸的问题，并向当事人现场解释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广西新电力投资集团有限责任公司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梧州市苍梧县群众反映，其居住地长时间存在频繁停电现象，严重影响居民正常生活，希望尽快解决。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份属实。当事人所在地因巡检人员工作不到位，未及时发现线路设备故障，导致频繁停电。已督促供电企业加强对输电、变电、配电设备的运行维护，提高线路的供电可靠性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广西新电力投资集团有限责任公司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玉林市博白县群众反映，其居住地频繁停电，已持续1、2年，多次联系95598供电服务热线，均告知因线路设备故障导致，但未解决频繁停电问题，希望尽快解决。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经调查，反映事项部分属实。当事人所在地因雷雨天气，造成线路多次接地跳闸，导致频繁停电。已督促供电企业加快开展线路改造，并将具体情况向当事人解释说明。当事人表示满意。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南方电网海南电网公司儋州供电局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儋州市东成镇群众反映，其居住地因线路故障导致频繁停电，已持续3年左右，联系95598供电服务热线，均只处理故障问题，未解决频繁停电问题，希望尽快解决。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运维管理，及时消缺及清理树障，加快推进改造项目施工进度，提升线路可转功率和自动化能力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国网重庆市电力公司彭水供电公司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重庆市彭水苗族土家族自治县群众反映，其居住地距离变压器较远，导致电压不稳，已持续3年左右，联系供电企业和95598供电服务热线未解决，希望尽快解决。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经调查，反映事项属实。目前，当事人所在地电线路改造项目已进场施工。已督促供电企业尽快完成通电工作，项目完成后将彻底解决低电压问题，并将具体情况向当事人解释说明。当事人表示满意。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国网重庆市电力公司巫山供电公司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重庆市巫山县群众反映，其居住地频繁停电，已持续约6个月，联系95598供电服务热线未解决，希望尽快解决。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巡检人员工作不到位，未及时发现线路设备故障，导致频繁停电。已督促供电企业开展高故障率线路设备整治，进一步加强设备运维，减少故障发生，合理安排停电工作缩短停电时间，强化停电审批杜绝重复停电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国网四川省电力公司阿坝供电公司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阿坝藏族羌族自治州小金县群众反映，其居住地频繁停电，已持续约3个月，已严重影响其正常生活，联系95598供电服务热线未解决，希望尽快解决。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巡检，及时清障，对有关供电设备进行更换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国网四川省电力公司甘孜供电公司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甘孜藏族自治州色达县群众反映，其工作地频繁停电，已持续5个月左右，多次联系95598供电服务热线未解决，希望尽快解决。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并消除线路故障，导致频繁停电。已督促供电企业加强巡检，制定缺陷整改的有效措施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国网四川省电力公司广元供电公司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广元市朝天区群众反映，其居住地频繁停电，已持续2个月左右，联系供电企业未彻底解决，希望尽快解决。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巡检，及时清障，对有关供电设备进行更换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国网四川省电力公司凉山供电公司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凉山彝族自治州会理县群众反映，其居住地频繁停电，已持续半年左右，联系95598供电服务热线未解决，希望尽快解决。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开展设备隐患消缺工作，对老旧设备进行全面排查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国网四川省电力公司雅安供电公司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雅安市名山县群众反映，其居住地频繁停电，已持续1年时间，联系95598供电服务热线未解决，希望尽快解决。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巡检，加强配网线路运维及消缺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盐源县长柏电力有限责任公司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凉山彝族自治州盐源县群众反映，长柏电力有限责任公司在电厂厂区内架设线路，违法给他人供电，并私自改变系统运行方式，希望调查处理。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经调查，反映事项属实。盐源县长柏电力有限责任公司为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缓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解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弃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水及经营压力，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向虚拟货币“挖矿”项目供电。已责令该企业立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即整改，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解除供电线路，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同时，要求各发电企业认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真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组织全面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自查，彻底清理违规向拟货币“挖矿”项目供电行为。当事人表示满意。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贵州兴义万峰电力股份公司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黔西南布依族苗族自治州兴义市群众反映，其居住地频繁停电，已持续5个月，多次联系96668供电服务热线均未解决，希望尽快解决。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提升主动服务意识，加强对线路的巡视维护，及时消缺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南方电网云南电网公司临沧供电局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临沧市耿马傣族佤族自治县群众反映，其居住地频繁停电，已持续1年左右，联系95598供电服务热线，告知因线路故障导致，希望尽快解决。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对该区域开展线路消缺，提升设备运维质量，加强用电负荷监测，提升供电可靠性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南方电网云南电网公司昭通供电局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昭通市永善县群众反映，其居住地低电压，已持续1年左右，联系95598供电服务热线未解决，希望尽快解决。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供电半径长，随着用电量激增，导致低电压。已督促供电企业加快农网改造，并采取临时处置措施，暂时缓解用户低电压问题。已将上述情况告知当事人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南方电网云南电网公司云南文山电力股份有限公司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文山壮族苗族自治州广南县群众反映，其居住地频繁停电，已持续2年，多次联系供电企业均未彻底解决，希望尽快解决。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加强巡检，对该区域开展线路消缺，提升设备运维质量，加强用电负荷监测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南方电网云南电网公司云南文山电力股份有限公司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文山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壮</w:t>
            </w:r>
            <w:r>
              <w:rPr>
                <w:rFonts w:hint="eastAsia" w:ascii="仿宋" w:hAnsi="仿宋" w:eastAsia="仿宋" w:cs="___WRD_EMBED_SUB_38"/>
                <w:color w:val="000000"/>
                <w:sz w:val="28"/>
                <w:szCs w:val="28"/>
              </w:rPr>
              <w:t>族苗族自治州文山市群众反映，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其居住地频繁停电，已持续4年左右，联系供电企业和95598供电服务热线，告知因故障停电或更换电力设施导致，但未彻底解决，希望尽快解决。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已督促供电企业加强线路设备维护，加强巡检，及时消除缺陷，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南方电网云南电网公司云南文山电力股份有限公司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文山壮族苗族自治州文山市群众反映，其居住地频繁停电，已持续7年，联系95598供电服务热线未解决，希望尽快解决。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对该区域开展线路消缺，提升设备运维质量，加强用电负荷监测，并将具体情况向当事人解释说明。当事人表示满意。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云南农垦电力有限责任公司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西双版纳傣族自治州勐腊县群众反映，当地频繁停电，已持续1、2个月，联系供电企业，告知线路故障导致但未彻底解决，希望尽快解决。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经调查，反映事项属实。当事人所在地因巡检人员工作不到位，未及时发现线路设备故障，导致频繁停电。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巡视与检查，及时掌握线路及其设备的运行情况，并消除缺陷与安全隐患，同时开展员工定期培训，提高员工专业化服务水平。当事人表示满意。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云南农垦电力有限责任公司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西双版纳傣族自治州勐腊县群众反映，其商铺频繁停电，已持续1年左右，联系供电企业未解决，希望尽快解决。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线路设备老旧，且巡检人员工作不到位，未及时发现线路设备故障，导致频繁停电。已督促供电企业加强巡检，及时掌握线路及其设备的运行情况，完善停电前告知用户服务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西安市临潼区群众反映，其居住地频繁停电，已持续1年，希望尽快解决。 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经调查，反映事项部分属实。当事人所在地因巡检人员工作不到位，未及时发现线路设备故障，导致频繁停电。已督促供电企业加大巡视力度，及时消除缺陷，并将具体情况向当事人解释说明。当事人表示满意。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西安市未央区群众反映，其居住地在“三供一业”改造时，电缆被挖断，导致低电压，已持续1个月，多次联系95598供电服务热线未解决，希望尽快解决。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经调查，反映事项属实。已督促供电企业加快线路改造，为低电压严重的用户购置稳压器，暂时解决低电压问题，并将具体情况向当事人解释说明。当事人表示满意。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西安市雁塔区群众反映，其居住地频繁停电，已持续5年，联系95598供电服务热线未解决，希望尽快解决。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设备老化且巡检人员工作不到位，未及时发现线路设备故障，导致频繁停电。已督促供电企业加快线路改造，加强巡检，及时掌握线路及其设备的运行情况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国网陕西省电力有限公司渭南供电公司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渭南市富平县群众反映，其居住地因距离变压器较远，导致低电压，已持续1年左右，联系供电企业一直未解决，希望尽快解决。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经调查，反映事项部分属实。当事人所在地距离配电变压器较远，在用电高峰期存在低电压。已督促供电企业提出整改方案，计划新布点变压器1台，并向当事人解释说明。当事人表示满意。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国网陕西省电力有限公司渭南供电公司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渭南市富平县群众反映，其居住地灌溉用电及居民用电低电压，已持续2年，多次联系96789供电服务热线均未解决，希望尽快解决。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部分属实。当事人所在地距离配电变压器较远，且用电负荷大，供电线路严重过载，导致低电压。已督促供电企业尽快勘查设计线路，新布点变压器1台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国网陕西省电力有限公司榆林供电公司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榆林市定边县群众反映，其居住地低电压，已持续1年，联系供电企业和96789供电服务热线均未解决，希望尽快解决。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高温天气用电负荷激增，使供电线路严重过载，导致低电压。已督促供电企业对相关线路实施有序供电方案，并报备当地政府。目前，供电企业正在协调当地政府筹划新建变电站，届时将会彻底解决低电压问题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国网甘肃省电力公司庆阳供电公司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庆阳市环县群众反映，其居住地每逢恶劣天气便停电，已持续8年左右，联系供电企业和95598供电服务热线未解决，希望尽快解决。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当事人所在地因设备老化且巡检人员工作不到位，未及时发现线路设备故障，导致频繁停电。已督促供电企业加强巡检，及时掌握线路及其设备的运行情况，同时加快农网改造进度，预计2021年11月30日前完工，并将上述情况告知当事人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新疆恒源盛建设工程有限公司</w:t>
            </w:r>
          </w:p>
        </w:tc>
        <w:tc>
          <w:tcPr>
            <w:tcW w:w="6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喀什地区巴楚县群众反映，新疆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源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建设工程有限公司申报承装（修、试）电力设施许可证时，未经同意使用了其高压电工证，希望尽快解决。</w:t>
            </w:r>
          </w:p>
        </w:tc>
        <w:tc>
          <w:tcPr>
            <w:tcW w:w="9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经调查，反映事项属实。新疆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源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建设工程有限公司申报承装（修、试）电力设施许可证时，使用了其他企业员工的电工证。已督促该企业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在资质和信用信息系统上对当事人证件进行解绑，并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提请行政处罚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进行行政处罚。当事人表示满意。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23814" w:h="16839" w:orient="landscape"/>
      <w:pgMar w:top="1134" w:right="1928" w:bottom="1134" w:left="2041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5"/>
        <w:rFonts w:ascii="仿宋_GB2312" w:eastAsia="仿宋_GB2312"/>
        <w:sz w:val="28"/>
        <w:szCs w:val="28"/>
      </w:rPr>
      <w:fldChar w:fldCharType="begin"/>
    </w:r>
    <w:r>
      <w:rPr>
        <w:rStyle w:val="15"/>
        <w:rFonts w:ascii="仿宋_GB2312" w:eastAsia="仿宋_GB2312"/>
        <w:sz w:val="28"/>
        <w:szCs w:val="28"/>
      </w:rPr>
      <w:instrText xml:space="preserve"> PAGE </w:instrText>
    </w:r>
    <w:r>
      <w:rPr>
        <w:rStyle w:val="15"/>
        <w:rFonts w:ascii="仿宋_GB2312" w:eastAsia="仿宋_GB2312"/>
        <w:sz w:val="28"/>
        <w:szCs w:val="28"/>
      </w:rPr>
      <w:fldChar w:fldCharType="separate"/>
    </w:r>
    <w:r>
      <w:rPr>
        <w:rStyle w:val="15"/>
        <w:rFonts w:ascii="仿宋_GB2312" w:eastAsia="仿宋_GB2312"/>
        <w:sz w:val="28"/>
        <w:szCs w:val="28"/>
      </w:rPr>
      <w:t>11</w:t>
    </w:r>
    <w:r>
      <w:rPr>
        <w:rStyle w:val="15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8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B"/>
    <w:rsid w:val="000020D8"/>
    <w:rsid w:val="00013074"/>
    <w:rsid w:val="00023E95"/>
    <w:rsid w:val="000621EB"/>
    <w:rsid w:val="00076D6A"/>
    <w:rsid w:val="000A1940"/>
    <w:rsid w:val="000C1320"/>
    <w:rsid w:val="000E610D"/>
    <w:rsid w:val="000F7F1F"/>
    <w:rsid w:val="00106D87"/>
    <w:rsid w:val="001C5A2A"/>
    <w:rsid w:val="00242BC8"/>
    <w:rsid w:val="002457E8"/>
    <w:rsid w:val="00245ECD"/>
    <w:rsid w:val="00270247"/>
    <w:rsid w:val="002847C1"/>
    <w:rsid w:val="002E224B"/>
    <w:rsid w:val="002E4C8A"/>
    <w:rsid w:val="002F364B"/>
    <w:rsid w:val="002F3A81"/>
    <w:rsid w:val="0032150D"/>
    <w:rsid w:val="00326098"/>
    <w:rsid w:val="00330FDB"/>
    <w:rsid w:val="00380DF2"/>
    <w:rsid w:val="003E7019"/>
    <w:rsid w:val="00407DB7"/>
    <w:rsid w:val="00430073"/>
    <w:rsid w:val="004401FB"/>
    <w:rsid w:val="004F7B9E"/>
    <w:rsid w:val="00550099"/>
    <w:rsid w:val="0055436F"/>
    <w:rsid w:val="005C5761"/>
    <w:rsid w:val="005C5D5F"/>
    <w:rsid w:val="005D3F04"/>
    <w:rsid w:val="005D7683"/>
    <w:rsid w:val="005F257A"/>
    <w:rsid w:val="0060570B"/>
    <w:rsid w:val="00612441"/>
    <w:rsid w:val="006274CF"/>
    <w:rsid w:val="006539A7"/>
    <w:rsid w:val="0068352B"/>
    <w:rsid w:val="00690D99"/>
    <w:rsid w:val="00693F20"/>
    <w:rsid w:val="006E434B"/>
    <w:rsid w:val="007244D2"/>
    <w:rsid w:val="007A79B8"/>
    <w:rsid w:val="007C3E79"/>
    <w:rsid w:val="007D2386"/>
    <w:rsid w:val="0080637B"/>
    <w:rsid w:val="00815560"/>
    <w:rsid w:val="008427C5"/>
    <w:rsid w:val="00863072"/>
    <w:rsid w:val="008E44F5"/>
    <w:rsid w:val="008F320E"/>
    <w:rsid w:val="0090123B"/>
    <w:rsid w:val="00921AC2"/>
    <w:rsid w:val="00943757"/>
    <w:rsid w:val="009819AF"/>
    <w:rsid w:val="00990651"/>
    <w:rsid w:val="009D10ED"/>
    <w:rsid w:val="00A2059F"/>
    <w:rsid w:val="00A327A0"/>
    <w:rsid w:val="00A60B5F"/>
    <w:rsid w:val="00A67083"/>
    <w:rsid w:val="00A8093C"/>
    <w:rsid w:val="00AA4CCE"/>
    <w:rsid w:val="00B07EB2"/>
    <w:rsid w:val="00B51E3F"/>
    <w:rsid w:val="00B754ED"/>
    <w:rsid w:val="00BD09F7"/>
    <w:rsid w:val="00BE1FAC"/>
    <w:rsid w:val="00BE2E3F"/>
    <w:rsid w:val="00BE44CA"/>
    <w:rsid w:val="00C13DB0"/>
    <w:rsid w:val="00C36D5B"/>
    <w:rsid w:val="00C40953"/>
    <w:rsid w:val="00C558FA"/>
    <w:rsid w:val="00C90685"/>
    <w:rsid w:val="00C96DC3"/>
    <w:rsid w:val="00C97BAB"/>
    <w:rsid w:val="00CC705B"/>
    <w:rsid w:val="00CD00C2"/>
    <w:rsid w:val="00CD1791"/>
    <w:rsid w:val="00D030F8"/>
    <w:rsid w:val="00D0473A"/>
    <w:rsid w:val="00D70318"/>
    <w:rsid w:val="00DC3267"/>
    <w:rsid w:val="00DE0DCC"/>
    <w:rsid w:val="00DE1774"/>
    <w:rsid w:val="00DE6B2B"/>
    <w:rsid w:val="00E65A7D"/>
    <w:rsid w:val="00E66C68"/>
    <w:rsid w:val="00E906BF"/>
    <w:rsid w:val="00EB6C85"/>
    <w:rsid w:val="00EC0E91"/>
    <w:rsid w:val="00EE480E"/>
    <w:rsid w:val="00EF1FF3"/>
    <w:rsid w:val="00EF44CE"/>
    <w:rsid w:val="00EF7795"/>
    <w:rsid w:val="00F02A20"/>
    <w:rsid w:val="00F04082"/>
    <w:rsid w:val="00F5011A"/>
    <w:rsid w:val="00F83709"/>
    <w:rsid w:val="00F86757"/>
    <w:rsid w:val="00FA0FC1"/>
    <w:rsid w:val="00FA1002"/>
    <w:rsid w:val="00FA3738"/>
    <w:rsid w:val="6C7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spacing w:afterLines="50" w:line="360" w:lineRule="auto"/>
      <w:jc w:val="left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2">
    <w:name w:val="heading 2"/>
    <w:basedOn w:val="3"/>
    <w:next w:val="1"/>
    <w:qFormat/>
    <w:locked/>
    <w:uiPriority w:val="9"/>
    <w:pPr>
      <w:widowControl/>
      <w:spacing w:before="100" w:beforeAutospacing="1" w:afterAutospacing="1"/>
      <w:outlineLvl w:val="1"/>
    </w:pPr>
    <w:rPr>
      <w:rFonts w:ascii="宋体" w:hAnsi="宋体" w:eastAsia="宋体"/>
      <w:kern w:val="0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6">
    <w:name w:val="annotation text"/>
    <w:basedOn w:val="1"/>
    <w:link w:val="22"/>
    <w:qFormat/>
    <w:uiPriority w:val="99"/>
    <w:pPr>
      <w:jc w:val="left"/>
    </w:p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30"/>
    <w:semiHidden/>
    <w:qFormat/>
    <w:uiPriority w:val="99"/>
    <w:rPr>
      <w:b/>
      <w:bCs/>
    </w:rPr>
  </w:style>
  <w:style w:type="character" w:styleId="14">
    <w:name w:val="Strong"/>
    <w:basedOn w:val="13"/>
    <w:qFormat/>
    <w:locked/>
    <w:uiPriority w:val="22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qFormat/>
    <w:uiPriority w:val="99"/>
    <w:rPr>
      <w:rFonts w:cs="Times New Roman"/>
      <w:color w:val="37556C"/>
      <w:u w:val="none"/>
    </w:rPr>
  </w:style>
  <w:style w:type="character" w:styleId="17">
    <w:name w:val="Emphasis"/>
    <w:basedOn w:val="13"/>
    <w:qFormat/>
    <w:locked/>
    <w:uiPriority w:val="20"/>
    <w:rPr>
      <w:i/>
      <w:iCs/>
    </w:rPr>
  </w:style>
  <w:style w:type="character" w:styleId="18">
    <w:name w:val="Hyperlink"/>
    <w:basedOn w:val="13"/>
    <w:qFormat/>
    <w:uiPriority w:val="99"/>
    <w:rPr>
      <w:rFonts w:cs="Times New Roman"/>
      <w:color w:val="37556C"/>
      <w:u w:val="none"/>
    </w:rPr>
  </w:style>
  <w:style w:type="character" w:styleId="19">
    <w:name w:val="HTML Code"/>
    <w:basedOn w:val="13"/>
    <w:qFormat/>
    <w:uiPriority w:val="99"/>
    <w:rPr>
      <w:rFonts w:ascii="Courier New" w:hAnsi="Courier New" w:cs="Times New Roman"/>
      <w:sz w:val="20"/>
    </w:rPr>
  </w:style>
  <w:style w:type="character" w:styleId="20">
    <w:name w:val="annotation reference"/>
    <w:basedOn w:val="13"/>
    <w:qFormat/>
    <w:uiPriority w:val="99"/>
    <w:rPr>
      <w:rFonts w:cs="Times New Roman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2">
    <w:name w:val="批注文字 Char"/>
    <w:basedOn w:val="13"/>
    <w:link w:val="6"/>
    <w:semiHidden/>
    <w:qFormat/>
    <w:locked/>
    <w:uiPriority w:val="99"/>
    <w:rPr>
      <w:rFonts w:ascii="Calibri" w:hAnsi="Calibri" w:cs="Times New Roman"/>
    </w:rPr>
  </w:style>
  <w:style w:type="character" w:customStyle="1" w:styleId="23">
    <w:name w:val="页脚 Char"/>
    <w:basedOn w:val="13"/>
    <w:link w:val="8"/>
    <w:qFormat/>
    <w:locked/>
    <w:uiPriority w:val="99"/>
    <w:rPr>
      <w:rFonts w:cs="Times New Roman"/>
      <w:sz w:val="18"/>
    </w:rPr>
  </w:style>
  <w:style w:type="character" w:customStyle="1" w:styleId="24">
    <w:name w:val="页眉 Char"/>
    <w:basedOn w:val="13"/>
    <w:link w:val="9"/>
    <w:qFormat/>
    <w:locked/>
    <w:uiPriority w:val="99"/>
    <w:rPr>
      <w:rFonts w:cs="Times New Roman"/>
      <w:sz w:val="18"/>
    </w:rPr>
  </w:style>
  <w:style w:type="character" w:customStyle="1" w:styleId="25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6">
    <w:name w:val="font101"/>
    <w:qFormat/>
    <w:uiPriority w:val="99"/>
    <w:rPr>
      <w:rFonts w:ascii="仿宋_GB2312" w:eastAsia="仿宋_GB2312"/>
      <w:color w:val="FF0000"/>
      <w:sz w:val="18"/>
    </w:rPr>
  </w:style>
  <w:style w:type="character" w:customStyle="1" w:styleId="27">
    <w:name w:val="data"/>
    <w:basedOn w:val="13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8">
    <w:name w:val="data1"/>
    <w:basedOn w:val="13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30">
    <w:name w:val="批注主题 Char"/>
    <w:basedOn w:val="22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1781</Words>
  <Characters>10158</Characters>
  <Lines>84</Lines>
  <Paragraphs>23</Paragraphs>
  <TotalTime>143</TotalTime>
  <ScaleCrop>false</ScaleCrop>
  <LinksUpToDate>false</LinksUpToDate>
  <CharactersWithSpaces>11916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2021-08-13T01:22:00Z</dcterms:created>
  <dc:creator>张川</dc:creator>
  <cp:lastModifiedBy>张爽</cp:lastModifiedBy>
  <cp:lastPrinted>2021-08-13T08:37:00Z</cp:lastPrinted>
  <dcterms:modified xsi:type="dcterms:W3CDTF">2021-08-30T02:32:07Z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5A83E7DF17B2444FA5AB46B8C09CDDEC</vt:lpwstr>
  </property>
</Properties>
</file>