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EF34" w14:textId="1299B72E" w:rsidR="00630B50" w:rsidRPr="00550683" w:rsidRDefault="00550683" w:rsidP="00550683">
      <w:pPr>
        <w:adjustRightInd w:val="0"/>
        <w:snapToGrid w:val="0"/>
        <w:spacing w:line="588" w:lineRule="exact"/>
        <w:ind w:firstLine="0"/>
        <w:rPr>
          <w:rFonts w:ascii="黑体" w:eastAsia="黑体" w:hAnsi="黑体"/>
          <w:sz w:val="32"/>
          <w:szCs w:val="32"/>
        </w:rPr>
      </w:pPr>
      <w:r w:rsidRPr="00550683">
        <w:rPr>
          <w:rFonts w:ascii="黑体" w:eastAsia="黑体" w:hAnsi="黑体" w:hint="eastAsia"/>
          <w:sz w:val="32"/>
          <w:szCs w:val="32"/>
        </w:rPr>
        <w:t>附件</w:t>
      </w:r>
    </w:p>
    <w:p w14:paraId="1C3A618E" w14:textId="77777777" w:rsidR="00630B50" w:rsidRDefault="00630B50">
      <w:pPr>
        <w:adjustRightInd w:val="0"/>
        <w:snapToGrid w:val="0"/>
        <w:spacing w:line="588" w:lineRule="exact"/>
        <w:ind w:firstLineChars="200" w:firstLine="640"/>
        <w:rPr>
          <w:rFonts w:ascii="Times New Roman" w:eastAsia="仿宋" w:hAnsi="Times New Roman"/>
          <w:sz w:val="32"/>
          <w:szCs w:val="32"/>
        </w:rPr>
      </w:pPr>
    </w:p>
    <w:p w14:paraId="06BD38E4" w14:textId="3E2D1E98" w:rsidR="00630B50" w:rsidRDefault="00B51774">
      <w:pPr>
        <w:autoSpaceDE w:val="0"/>
        <w:autoSpaceDN w:val="0"/>
        <w:spacing w:line="588" w:lineRule="exact"/>
        <w:ind w:firstLine="0"/>
        <w:jc w:val="center"/>
        <w:outlineLvl w:val="0"/>
        <w:rPr>
          <w:rFonts w:ascii="Times New Roman" w:eastAsia="方正小标宋简体" w:hAnsi="Times New Roman" w:cs="方正小标宋简体"/>
          <w:sz w:val="44"/>
          <w:szCs w:val="44"/>
          <w:lang w:val="zh-CN"/>
        </w:rPr>
      </w:pPr>
      <w:r>
        <w:rPr>
          <w:rFonts w:ascii="Times New Roman" w:eastAsia="方正小标宋简体" w:hAnsi="Times New Roman" w:cs="方正小标宋简体" w:hint="eastAsia"/>
          <w:spacing w:val="-4"/>
          <w:sz w:val="44"/>
          <w:szCs w:val="44"/>
          <w:lang w:val="zh-CN"/>
        </w:rPr>
        <w:t>水电站大坝应急管理办法</w:t>
      </w:r>
    </w:p>
    <w:p w14:paraId="243C2E10" w14:textId="77777777" w:rsidR="00630B50" w:rsidRPr="00550683" w:rsidRDefault="00B51774">
      <w:pPr>
        <w:autoSpaceDE w:val="0"/>
        <w:autoSpaceDN w:val="0"/>
        <w:spacing w:line="588" w:lineRule="exact"/>
        <w:ind w:firstLine="0"/>
        <w:jc w:val="center"/>
        <w:outlineLvl w:val="0"/>
        <w:rPr>
          <w:rFonts w:ascii="楷体" w:eastAsia="楷体" w:hAnsi="楷体" w:cs="楷体"/>
          <w:sz w:val="32"/>
          <w:szCs w:val="32"/>
          <w:lang w:val="zh-CN"/>
        </w:rPr>
      </w:pPr>
      <w:r w:rsidRPr="00550683">
        <w:rPr>
          <w:rFonts w:ascii="楷体" w:eastAsia="楷体" w:hAnsi="楷体" w:cs="楷体" w:hint="eastAsia"/>
          <w:sz w:val="32"/>
          <w:szCs w:val="32"/>
          <w:lang w:val="zh-CN"/>
        </w:rPr>
        <w:t>（征求意见稿）</w:t>
      </w:r>
    </w:p>
    <w:p w14:paraId="33BFEE3C" w14:textId="77777777" w:rsidR="00630B50" w:rsidRDefault="00630B50">
      <w:pPr>
        <w:adjustRightInd w:val="0"/>
        <w:snapToGrid w:val="0"/>
        <w:spacing w:line="588" w:lineRule="exact"/>
        <w:ind w:firstLine="0"/>
        <w:rPr>
          <w:rFonts w:ascii="仿宋" w:eastAsia="仿宋" w:hAnsi="仿宋"/>
          <w:sz w:val="32"/>
          <w:szCs w:val="32"/>
        </w:rPr>
      </w:pPr>
    </w:p>
    <w:p w14:paraId="65234624"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Times New Roman" w:eastAsia="黑体" w:hAnsi="Times New Roman"/>
          <w:bCs/>
          <w:color w:val="000000"/>
          <w:kern w:val="44"/>
          <w:sz w:val="32"/>
          <w:szCs w:val="32"/>
        </w:rPr>
      </w:pPr>
      <w:bookmarkStart w:id="0" w:name="_Toc66523717"/>
      <w:r>
        <w:rPr>
          <w:rFonts w:ascii="Times New Roman" w:eastAsia="黑体" w:hAnsi="Times New Roman" w:hint="eastAsia"/>
          <w:bCs/>
          <w:color w:val="000000"/>
          <w:kern w:val="44"/>
          <w:sz w:val="32"/>
          <w:szCs w:val="32"/>
        </w:rPr>
        <w:t>总则</w:t>
      </w:r>
    </w:p>
    <w:p w14:paraId="1546C4D2" w14:textId="42202BA4"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sz w:val="32"/>
          <w:szCs w:val="32"/>
        </w:rPr>
        <w:t>【目的依据】</w:t>
      </w:r>
      <w:r>
        <w:rPr>
          <w:rFonts w:ascii="仿宋" w:eastAsia="仿宋" w:hAnsi="仿宋" w:hint="eastAsia"/>
          <w:color w:val="000000"/>
          <w:sz w:val="32"/>
          <w:szCs w:val="32"/>
        </w:rPr>
        <w:t>为了</w:t>
      </w:r>
      <w:r>
        <w:rPr>
          <w:rFonts w:ascii="仿宋" w:eastAsia="仿宋" w:hAnsi="仿宋" w:cs="宋体" w:hint="eastAsia"/>
          <w:color w:val="000000"/>
          <w:kern w:val="0"/>
          <w:sz w:val="32"/>
          <w:szCs w:val="32"/>
        </w:rPr>
        <w:t>规范水电站大坝运行安全应急管理，提高电力企业防范应对大坝运行安全突发事件（</w:t>
      </w:r>
      <w:r>
        <w:rPr>
          <w:rFonts w:ascii="仿宋" w:eastAsia="仿宋" w:hAnsi="仿宋" w:hint="eastAsia"/>
          <w:color w:val="000000"/>
          <w:sz w:val="32"/>
          <w:szCs w:val="32"/>
        </w:rPr>
        <w:t>以下简称突发事件</w:t>
      </w:r>
      <w:r>
        <w:rPr>
          <w:rFonts w:ascii="仿宋" w:eastAsia="仿宋" w:hAnsi="仿宋" w:cs="宋体" w:hint="eastAsia"/>
          <w:color w:val="000000"/>
          <w:kern w:val="0"/>
          <w:sz w:val="32"/>
          <w:szCs w:val="32"/>
        </w:rPr>
        <w:t>）能力，</w:t>
      </w:r>
      <w:r>
        <w:rPr>
          <w:rFonts w:ascii="仿宋" w:eastAsia="仿宋" w:hAnsi="仿宋" w:hint="eastAsia"/>
          <w:color w:val="000000"/>
          <w:sz w:val="32"/>
          <w:szCs w:val="32"/>
        </w:rPr>
        <w:t>保障大坝运行安全和社会公共安全，根据《中华人民共和国突发事件应对法》《水库大坝安全管理条例》《生产</w:t>
      </w:r>
      <w:r>
        <w:rPr>
          <w:rFonts w:ascii="仿宋" w:eastAsia="仿宋" w:hAnsi="仿宋"/>
          <w:color w:val="000000"/>
          <w:sz w:val="32"/>
          <w:szCs w:val="32"/>
        </w:rPr>
        <w:t>安全事故应急条例</w:t>
      </w:r>
      <w:r>
        <w:rPr>
          <w:rFonts w:ascii="仿宋" w:eastAsia="仿宋" w:hAnsi="仿宋" w:hint="eastAsia"/>
          <w:color w:val="000000"/>
          <w:sz w:val="32"/>
          <w:szCs w:val="32"/>
        </w:rPr>
        <w:t>》《电力安全事故应急处置和调查处理条例》和《水电站大坝运行安全监督管理规定》等法律法规和规章，制定本办法。</w:t>
      </w:r>
    </w:p>
    <w:p w14:paraId="56F97BC9"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sz w:val="32"/>
          <w:szCs w:val="32"/>
        </w:rPr>
        <w:t>【适用范围】</w:t>
      </w:r>
      <w:r>
        <w:rPr>
          <w:rFonts w:ascii="仿宋" w:eastAsia="仿宋" w:hAnsi="仿宋" w:hint="eastAsia"/>
          <w:color w:val="000000"/>
          <w:sz w:val="32"/>
          <w:szCs w:val="32"/>
        </w:rPr>
        <w:t>本办法适用于</w:t>
      </w:r>
      <w:bookmarkStart w:id="1" w:name="_Hlk81226831"/>
      <w:r>
        <w:rPr>
          <w:rFonts w:ascii="仿宋" w:eastAsia="仿宋" w:hAnsi="仿宋" w:hint="eastAsia"/>
          <w:color w:val="000000"/>
          <w:sz w:val="32"/>
          <w:szCs w:val="32"/>
        </w:rPr>
        <w:t>以发电为主、总装机容量五万千瓦及以上的大、中型水电站大坝（以下简称大坝）的运行安全应急管理工作</w:t>
      </w:r>
      <w:bookmarkEnd w:id="1"/>
      <w:r>
        <w:rPr>
          <w:rFonts w:ascii="仿宋" w:eastAsia="仿宋" w:hAnsi="仿宋" w:hint="eastAsia"/>
          <w:color w:val="000000"/>
          <w:sz w:val="32"/>
          <w:szCs w:val="32"/>
        </w:rPr>
        <w:t>（以下简称大坝应急管理）。</w:t>
      </w:r>
    </w:p>
    <w:p w14:paraId="3C0EC382" w14:textId="77777777" w:rsidR="00630B50" w:rsidRDefault="00B51774">
      <w:pPr>
        <w:tabs>
          <w:tab w:val="left" w:pos="745"/>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大坝发生突发事件，地方政府及其相关部门启动预案、开展应急响应的，电力企业应当遵从其指令和规定。</w:t>
      </w:r>
    </w:p>
    <w:p w14:paraId="1D6F24E0" w14:textId="77777777" w:rsidR="00630B50" w:rsidRDefault="00B51774" w:rsidP="003D278A">
      <w:pPr>
        <w:numPr>
          <w:ilvl w:val="0"/>
          <w:numId w:val="2"/>
        </w:numPr>
        <w:tabs>
          <w:tab w:val="left" w:pos="1701"/>
        </w:tabs>
        <w:spacing w:line="588" w:lineRule="exact"/>
        <w:ind w:left="0" w:firstLineChars="200" w:firstLine="643"/>
        <w:rPr>
          <w:rFonts w:ascii="仿宋" w:eastAsia="仿宋" w:hAnsi="仿宋"/>
          <w:i/>
          <w:color w:val="FF0000"/>
          <w:sz w:val="24"/>
          <w:szCs w:val="24"/>
        </w:rPr>
      </w:pPr>
      <w:r>
        <w:rPr>
          <w:rFonts w:ascii="仿宋" w:eastAsia="仿宋" w:hAnsi="仿宋" w:hint="eastAsia"/>
          <w:b/>
          <w:color w:val="000000"/>
          <w:sz w:val="32"/>
          <w:szCs w:val="32"/>
        </w:rPr>
        <w:t>【主体责任】</w:t>
      </w:r>
      <w:r>
        <w:rPr>
          <w:rFonts w:ascii="仿宋" w:eastAsia="仿宋" w:hAnsi="仿宋" w:hint="eastAsia"/>
          <w:color w:val="000000"/>
          <w:sz w:val="32"/>
          <w:szCs w:val="32"/>
        </w:rPr>
        <w:t>电力企业是大坝应急管理的责任主体，其</w:t>
      </w:r>
      <w:r>
        <w:rPr>
          <w:rFonts w:ascii="仿宋" w:eastAsia="仿宋" w:hAnsi="仿宋"/>
          <w:color w:val="000000"/>
          <w:sz w:val="32"/>
          <w:szCs w:val="32"/>
        </w:rPr>
        <w:t>主要负责人对本单位的</w:t>
      </w:r>
      <w:r>
        <w:rPr>
          <w:rFonts w:ascii="仿宋" w:eastAsia="仿宋" w:hAnsi="仿宋" w:hint="eastAsia"/>
          <w:color w:val="000000"/>
          <w:sz w:val="32"/>
          <w:szCs w:val="32"/>
        </w:rPr>
        <w:t>大坝应急管理</w:t>
      </w:r>
      <w:r>
        <w:rPr>
          <w:rFonts w:ascii="仿宋" w:eastAsia="仿宋" w:hAnsi="仿宋"/>
          <w:color w:val="000000"/>
          <w:sz w:val="32"/>
          <w:szCs w:val="32"/>
        </w:rPr>
        <w:t>全面负责</w:t>
      </w:r>
      <w:r>
        <w:rPr>
          <w:rFonts w:ascii="仿宋" w:eastAsia="仿宋" w:hAnsi="仿宋" w:hint="eastAsia"/>
          <w:color w:val="000000"/>
          <w:sz w:val="32"/>
          <w:szCs w:val="32"/>
        </w:rPr>
        <w:t>。电力企业应当按照法律法规的规定、与地方政府有关部门划定的管理界面，加强大坝应急管理。</w:t>
      </w:r>
    </w:p>
    <w:p w14:paraId="4BE66643" w14:textId="62DAA51E" w:rsidR="00630B50" w:rsidRDefault="00B51774">
      <w:pPr>
        <w:numPr>
          <w:ilvl w:val="0"/>
          <w:numId w:val="2"/>
        </w:numPr>
        <w:tabs>
          <w:tab w:val="left" w:pos="1701"/>
        </w:tabs>
        <w:spacing w:line="588" w:lineRule="exact"/>
        <w:ind w:left="0" w:firstLineChars="200" w:firstLine="640"/>
        <w:rPr>
          <w:rFonts w:ascii="仿宋" w:eastAsia="仿宋" w:hAnsi="仿宋"/>
          <w:i/>
          <w:color w:val="000000"/>
          <w:sz w:val="32"/>
          <w:szCs w:val="32"/>
        </w:rPr>
      </w:pPr>
      <w:r>
        <w:rPr>
          <w:rFonts w:ascii="仿宋" w:eastAsia="仿宋" w:hAnsi="仿宋" w:hint="eastAsia"/>
          <w:color w:val="000000"/>
          <w:sz w:val="32"/>
          <w:szCs w:val="32"/>
        </w:rPr>
        <w:lastRenderedPageBreak/>
        <w:t>【</w:t>
      </w:r>
      <w:r>
        <w:rPr>
          <w:rFonts w:ascii="仿宋" w:eastAsia="仿宋" w:hAnsi="仿宋" w:hint="eastAsia"/>
          <w:b/>
          <w:color w:val="000000"/>
          <w:sz w:val="32"/>
          <w:szCs w:val="32"/>
        </w:rPr>
        <w:t>监管职责</w:t>
      </w:r>
      <w:r>
        <w:rPr>
          <w:rFonts w:ascii="仿宋" w:eastAsia="仿宋" w:hAnsi="仿宋" w:hint="eastAsia"/>
          <w:color w:val="000000"/>
          <w:sz w:val="32"/>
          <w:szCs w:val="32"/>
        </w:rPr>
        <w:t>】国家能源局负责水电站大坝运行安全应急的综合监督管理。国家能源局派出机构（以下简称派出机构）根据国家规定职责和法律法规授权，负责本辖区内大坝应急的行业监督管理。地方电力管理等有关部门根据法律法规及有关规定，负责本行政区域内大坝应急的地方管理。国家能源局大坝安全监察中心（以下简称大坝中心）承担大坝应急管理的技术监督和技术</w:t>
      </w:r>
      <w:r>
        <w:rPr>
          <w:rFonts w:ascii="仿宋" w:eastAsia="仿宋" w:hAnsi="仿宋"/>
          <w:color w:val="000000"/>
          <w:sz w:val="32"/>
          <w:szCs w:val="32"/>
        </w:rPr>
        <w:t>指导</w:t>
      </w:r>
      <w:r>
        <w:rPr>
          <w:rFonts w:ascii="仿宋" w:eastAsia="仿宋" w:hAnsi="仿宋" w:hint="eastAsia"/>
          <w:color w:val="000000"/>
          <w:sz w:val="32"/>
          <w:szCs w:val="32"/>
        </w:rPr>
        <w:t>。</w:t>
      </w:r>
    </w:p>
    <w:p w14:paraId="60EDFDB7"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Times New Roman" w:eastAsia="黑体" w:hAnsi="Times New Roman"/>
          <w:bCs/>
          <w:color w:val="000000"/>
          <w:kern w:val="44"/>
          <w:sz w:val="32"/>
          <w:szCs w:val="32"/>
        </w:rPr>
      </w:pPr>
      <w:r>
        <w:rPr>
          <w:rFonts w:ascii="Times New Roman" w:eastAsia="黑体" w:hAnsi="Times New Roman" w:hint="eastAsia"/>
          <w:bCs/>
          <w:color w:val="000000"/>
          <w:kern w:val="44"/>
          <w:sz w:val="32"/>
          <w:szCs w:val="32"/>
        </w:rPr>
        <w:t>突发事件预防</w:t>
      </w:r>
    </w:p>
    <w:p w14:paraId="252B4C78" w14:textId="77777777" w:rsidR="00630B50" w:rsidRDefault="00B51774">
      <w:pPr>
        <w:numPr>
          <w:ilvl w:val="0"/>
          <w:numId w:val="2"/>
        </w:numPr>
        <w:tabs>
          <w:tab w:val="left" w:pos="1701"/>
        </w:tabs>
        <w:spacing w:line="588" w:lineRule="exact"/>
        <w:ind w:left="0" w:firstLineChars="200" w:firstLine="640"/>
        <w:rPr>
          <w:rFonts w:ascii="仿宋" w:eastAsia="仿宋" w:hAnsi="仿宋"/>
          <w:color w:val="000000"/>
          <w:sz w:val="32"/>
          <w:szCs w:val="32"/>
        </w:rPr>
      </w:pPr>
      <w:r>
        <w:rPr>
          <w:rFonts w:ascii="仿宋" w:eastAsia="仿宋" w:hAnsi="仿宋" w:hint="eastAsia"/>
          <w:color w:val="000000"/>
          <w:kern w:val="0"/>
          <w:sz w:val="32"/>
          <w:szCs w:val="32"/>
        </w:rPr>
        <w:t>【</w:t>
      </w:r>
      <w:r>
        <w:rPr>
          <w:rFonts w:ascii="仿宋" w:eastAsia="仿宋" w:hAnsi="仿宋" w:hint="eastAsia"/>
          <w:b/>
          <w:color w:val="000000"/>
          <w:kern w:val="0"/>
          <w:sz w:val="32"/>
          <w:szCs w:val="32"/>
        </w:rPr>
        <w:t>风险评估】</w:t>
      </w:r>
      <w:r>
        <w:rPr>
          <w:rFonts w:ascii="仿宋" w:eastAsia="仿宋" w:hAnsi="仿宋" w:hint="eastAsia"/>
          <w:color w:val="000000"/>
          <w:sz w:val="32"/>
          <w:szCs w:val="32"/>
        </w:rPr>
        <w:t>电力企业应当建立健全大坝安全风险分级管控机制，定期评估可能影响大坝运行安全的自然灾害类、事故灾难类和社会安全类突发事件的风险，落实防范管控措施。</w:t>
      </w:r>
    </w:p>
    <w:p w14:paraId="09215C28"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bCs/>
          <w:color w:val="000000"/>
          <w:sz w:val="32"/>
          <w:szCs w:val="32"/>
        </w:rPr>
        <w:t>【运行管理】</w:t>
      </w:r>
      <w:r>
        <w:rPr>
          <w:rFonts w:ascii="仿宋" w:eastAsia="仿宋" w:hAnsi="仿宋" w:hint="eastAsia"/>
          <w:color w:val="000000"/>
          <w:sz w:val="32"/>
          <w:szCs w:val="32"/>
        </w:rPr>
        <w:t>电力企业应当按照规定，加强运行管理，做好大坝的日常监测检查和运行维护，排查治理大坝存在的工程缺陷和隐患，提升大坝本质安全水平。</w:t>
      </w:r>
    </w:p>
    <w:p w14:paraId="5FD925B9" w14:textId="78FD5606" w:rsidR="00630B50" w:rsidRDefault="00B51774">
      <w:pPr>
        <w:numPr>
          <w:ilvl w:val="0"/>
          <w:numId w:val="2"/>
        </w:numPr>
        <w:tabs>
          <w:tab w:val="left" w:pos="1701"/>
        </w:tabs>
        <w:spacing w:line="588" w:lineRule="exact"/>
        <w:rPr>
          <w:rFonts w:ascii="仿宋" w:eastAsia="仿宋" w:hAnsi="仿宋"/>
          <w:color w:val="000000"/>
          <w:sz w:val="32"/>
          <w:szCs w:val="32"/>
        </w:rPr>
      </w:pPr>
      <w:r>
        <w:rPr>
          <w:rFonts w:ascii="仿宋" w:eastAsia="仿宋" w:hAnsi="仿宋" w:hint="eastAsia"/>
          <w:b/>
          <w:bCs/>
          <w:color w:val="000000"/>
          <w:sz w:val="32"/>
          <w:szCs w:val="32"/>
        </w:rPr>
        <w:t>【安全监控】</w:t>
      </w:r>
      <w:r>
        <w:rPr>
          <w:rFonts w:ascii="仿宋" w:eastAsia="仿宋" w:hAnsi="仿宋" w:hint="eastAsia"/>
          <w:color w:val="000000"/>
          <w:sz w:val="32"/>
          <w:szCs w:val="32"/>
        </w:rPr>
        <w:t>电力企业应当加强大坝安全监控，坝高一百米以上、库容一亿立方米以上大坝以及病险坝，应当建立大坝安全在线监控系统，并且接受大坝中心的监督。</w:t>
      </w:r>
    </w:p>
    <w:p w14:paraId="28891714" w14:textId="634815E8" w:rsidR="00630B50" w:rsidRDefault="00B51774">
      <w:pPr>
        <w:numPr>
          <w:ilvl w:val="0"/>
          <w:numId w:val="2"/>
        </w:numPr>
        <w:tabs>
          <w:tab w:val="left" w:pos="1701"/>
        </w:tabs>
        <w:spacing w:line="588" w:lineRule="exact"/>
        <w:rPr>
          <w:rFonts w:ascii="仿宋" w:eastAsia="仿宋" w:hAnsi="仿宋"/>
          <w:color w:val="000000"/>
          <w:sz w:val="32"/>
          <w:szCs w:val="32"/>
        </w:rPr>
      </w:pPr>
      <w:r>
        <w:rPr>
          <w:rFonts w:ascii="仿宋" w:eastAsia="仿宋" w:hAnsi="仿宋" w:hint="eastAsia"/>
          <w:b/>
          <w:bCs/>
          <w:color w:val="000000"/>
          <w:sz w:val="32"/>
          <w:szCs w:val="32"/>
        </w:rPr>
        <w:t>【专项检查】</w:t>
      </w:r>
      <w:r>
        <w:rPr>
          <w:rFonts w:ascii="仿宋" w:eastAsia="仿宋" w:hAnsi="仿宋" w:hint="eastAsia"/>
          <w:color w:val="000000"/>
          <w:sz w:val="32"/>
          <w:szCs w:val="32"/>
        </w:rPr>
        <w:t>电力企业应当</w:t>
      </w:r>
      <w:r w:rsidR="007611C7">
        <w:rPr>
          <w:rFonts w:ascii="仿宋" w:eastAsia="仿宋" w:hAnsi="仿宋" w:hint="eastAsia"/>
          <w:color w:val="000000"/>
          <w:sz w:val="32"/>
          <w:szCs w:val="32"/>
        </w:rPr>
        <w:t>在</w:t>
      </w:r>
      <w:r>
        <w:rPr>
          <w:rFonts w:ascii="仿宋" w:eastAsia="仿宋" w:hAnsi="仿宋" w:hint="eastAsia"/>
          <w:color w:val="000000"/>
          <w:sz w:val="32"/>
          <w:szCs w:val="32"/>
        </w:rPr>
        <w:t>遭遇超标洪水、影响大坝运行安全的地震等自然灾害和泥石流等地质灾害的特殊情况下，按规定对大坝进行专项检查。</w:t>
      </w:r>
    </w:p>
    <w:p w14:paraId="579F4356" w14:textId="77777777" w:rsidR="00630B50" w:rsidRDefault="00B51774">
      <w:pPr>
        <w:numPr>
          <w:ilvl w:val="0"/>
          <w:numId w:val="2"/>
        </w:numPr>
        <w:tabs>
          <w:tab w:val="left" w:pos="1701"/>
        </w:tabs>
        <w:spacing w:line="588" w:lineRule="exact"/>
        <w:ind w:leftChars="8" w:left="17" w:firstLineChars="194" w:firstLine="623"/>
        <w:rPr>
          <w:rFonts w:ascii="仿宋" w:eastAsia="仿宋" w:hAnsi="仿宋"/>
          <w:color w:val="000000"/>
          <w:sz w:val="32"/>
          <w:szCs w:val="32"/>
        </w:rPr>
      </w:pPr>
      <w:r>
        <w:rPr>
          <w:rFonts w:ascii="仿宋" w:eastAsia="仿宋" w:hAnsi="仿宋" w:hint="eastAsia"/>
          <w:b/>
          <w:color w:val="000000"/>
          <w:sz w:val="32"/>
          <w:szCs w:val="32"/>
        </w:rPr>
        <w:lastRenderedPageBreak/>
        <w:t>【病险管控】</w:t>
      </w:r>
      <w:r>
        <w:rPr>
          <w:rFonts w:ascii="仿宋" w:eastAsia="仿宋" w:hAnsi="仿宋" w:hint="eastAsia"/>
          <w:color w:val="000000"/>
          <w:sz w:val="32"/>
          <w:szCs w:val="32"/>
        </w:rPr>
        <w:t>电力企业应当按照治理方案期限，及时完成</w:t>
      </w:r>
      <w:proofErr w:type="gramStart"/>
      <w:r>
        <w:rPr>
          <w:rFonts w:ascii="仿宋" w:eastAsia="仿宋" w:hAnsi="仿宋" w:hint="eastAsia"/>
          <w:color w:val="000000"/>
          <w:sz w:val="32"/>
          <w:szCs w:val="32"/>
        </w:rPr>
        <w:t>病坝治理</w:t>
      </w:r>
      <w:proofErr w:type="gramEnd"/>
      <w:r>
        <w:rPr>
          <w:rFonts w:ascii="仿宋" w:eastAsia="仿宋" w:hAnsi="仿宋" w:hint="eastAsia"/>
          <w:color w:val="000000"/>
          <w:sz w:val="32"/>
          <w:szCs w:val="32"/>
        </w:rPr>
        <w:t>和险坝除险加固。大坝病险情形消除前，应当进行大坝运行方式安全评估论证，并根据评估论证结果修订运行规程、汛期调度运用计划和相关应急预案，采取有效措施确保病险坝治理期间大坝运行安全。</w:t>
      </w:r>
    </w:p>
    <w:p w14:paraId="13E7205F"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bCs/>
          <w:color w:val="000000"/>
          <w:sz w:val="32"/>
          <w:szCs w:val="32"/>
        </w:rPr>
        <w:t>【防洪度汛】</w:t>
      </w:r>
      <w:r>
        <w:rPr>
          <w:rFonts w:ascii="仿宋" w:eastAsia="仿宋" w:hAnsi="仿宋" w:hint="eastAsia"/>
          <w:color w:val="000000"/>
          <w:sz w:val="32"/>
          <w:szCs w:val="32"/>
        </w:rPr>
        <w:t>电力企业应当加强大坝防洪管理工作，确保大坝度汛安全。主要包括以下内容。</w:t>
      </w:r>
    </w:p>
    <w:p w14:paraId="24D1A618" w14:textId="77777777" w:rsidR="00630B50" w:rsidRDefault="00B51774">
      <w:pPr>
        <w:tabs>
          <w:tab w:val="left" w:pos="1701"/>
        </w:tabs>
        <w:spacing w:line="588" w:lineRule="exact"/>
        <w:rPr>
          <w:rFonts w:ascii="仿宋" w:eastAsia="仿宋" w:hAnsi="仿宋"/>
          <w:color w:val="000000"/>
          <w:sz w:val="32"/>
          <w:szCs w:val="32"/>
        </w:rPr>
      </w:pPr>
      <w:r>
        <w:rPr>
          <w:rFonts w:ascii="仿宋" w:eastAsia="仿宋" w:hAnsi="仿宋" w:hint="eastAsia"/>
          <w:color w:val="000000"/>
          <w:sz w:val="32"/>
          <w:szCs w:val="32"/>
        </w:rPr>
        <w:t>（一）电力企业应当设立以主要负责人为第一责任人的防汛组织机构。</w:t>
      </w:r>
    </w:p>
    <w:p w14:paraId="19DDA86F" w14:textId="77777777" w:rsidR="00630B50" w:rsidRDefault="00B51774">
      <w:pPr>
        <w:tabs>
          <w:tab w:val="left" w:pos="1701"/>
        </w:tabs>
        <w:spacing w:line="588" w:lineRule="exact"/>
        <w:rPr>
          <w:rFonts w:ascii="仿宋" w:eastAsia="仿宋" w:hAnsi="仿宋"/>
          <w:color w:val="000000"/>
          <w:sz w:val="32"/>
          <w:szCs w:val="32"/>
        </w:rPr>
      </w:pPr>
      <w:r>
        <w:rPr>
          <w:rFonts w:ascii="仿宋" w:eastAsia="仿宋" w:hAnsi="仿宋" w:hint="eastAsia"/>
          <w:color w:val="000000"/>
          <w:sz w:val="32"/>
          <w:szCs w:val="32"/>
        </w:rPr>
        <w:t>（二）电力企业应当按规定编制、报批水库汛期调度运用计划，计划批准后严格执行。严禁擅自超汛限水位运行。</w:t>
      </w:r>
    </w:p>
    <w:p w14:paraId="67936943" w14:textId="546B7549" w:rsidR="00630B50" w:rsidRDefault="00B51774">
      <w:pPr>
        <w:tabs>
          <w:tab w:val="left" w:pos="1701"/>
        </w:tabs>
        <w:spacing w:line="588" w:lineRule="exact"/>
        <w:rPr>
          <w:rFonts w:ascii="仿宋" w:eastAsia="仿宋" w:hAnsi="仿宋"/>
          <w:color w:val="000000"/>
          <w:sz w:val="32"/>
          <w:szCs w:val="32"/>
        </w:rPr>
      </w:pPr>
      <w:r>
        <w:rPr>
          <w:rFonts w:ascii="仿宋" w:eastAsia="仿宋" w:hAnsi="仿宋" w:hint="eastAsia"/>
          <w:color w:val="000000"/>
          <w:sz w:val="32"/>
          <w:szCs w:val="32"/>
        </w:rPr>
        <w:t>（三）电力企业应当按规定开展汛前、汛中、汛后大坝安全检查，对发现的隐患及时进行闭环整改。检查发现的影响大坝运行安全的</w:t>
      </w:r>
      <w:r>
        <w:rPr>
          <w:rFonts w:ascii="仿宋" w:eastAsia="仿宋" w:hAnsi="仿宋"/>
          <w:color w:val="000000"/>
          <w:sz w:val="32"/>
          <w:szCs w:val="32"/>
        </w:rPr>
        <w:t>隐患</w:t>
      </w:r>
      <w:r>
        <w:rPr>
          <w:rFonts w:ascii="仿宋" w:eastAsia="仿宋" w:hAnsi="仿宋" w:hint="eastAsia"/>
          <w:color w:val="000000"/>
          <w:sz w:val="32"/>
          <w:szCs w:val="32"/>
        </w:rPr>
        <w:t>及其整改措施应当按照要求报送派出机构、地方电力管理等有关部门和大坝中心。</w:t>
      </w:r>
    </w:p>
    <w:p w14:paraId="1D3A1F5C" w14:textId="52EF5371" w:rsidR="00630B50" w:rsidRDefault="00B51774">
      <w:pPr>
        <w:tabs>
          <w:tab w:val="left" w:pos="745"/>
        </w:tabs>
        <w:spacing w:line="588" w:lineRule="exact"/>
        <w:rPr>
          <w:rFonts w:ascii="仿宋" w:eastAsia="仿宋" w:hAnsi="仿宋"/>
          <w:bCs/>
          <w:color w:val="000000"/>
          <w:sz w:val="32"/>
          <w:szCs w:val="32"/>
        </w:rPr>
      </w:pPr>
      <w:r>
        <w:rPr>
          <w:rFonts w:ascii="仿宋" w:eastAsia="仿宋" w:hAnsi="仿宋"/>
          <w:color w:val="000000"/>
          <w:sz w:val="32"/>
          <w:szCs w:val="32"/>
        </w:rPr>
        <w:tab/>
      </w:r>
      <w:r>
        <w:rPr>
          <w:rFonts w:ascii="仿宋" w:eastAsia="仿宋" w:hAnsi="仿宋" w:hint="eastAsia"/>
          <w:color w:val="000000"/>
          <w:sz w:val="32"/>
          <w:szCs w:val="32"/>
        </w:rPr>
        <w:t>（四）电力企业应当于汛前对大坝上游库区和下游泄洪影响区的生产生活设施、建筑物和地质灾害点进行排查，对排查出的问题隐患及时报告地方政府防汛指挥机构和派出机构、地方电力管理等有关部门。</w:t>
      </w:r>
    </w:p>
    <w:p w14:paraId="59D1D51A" w14:textId="4260E5C6" w:rsidR="00630B50" w:rsidRDefault="00B51774">
      <w:pPr>
        <w:numPr>
          <w:ilvl w:val="255"/>
          <w:numId w:val="0"/>
        </w:numPr>
        <w:tabs>
          <w:tab w:val="left" w:pos="745"/>
        </w:tabs>
        <w:spacing w:line="588"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（五）</w:t>
      </w:r>
      <w:r>
        <w:rPr>
          <w:rFonts w:ascii="仿宋" w:eastAsia="仿宋" w:hAnsi="仿宋" w:hint="eastAsia"/>
          <w:color w:val="000000"/>
          <w:sz w:val="32"/>
          <w:szCs w:val="32"/>
        </w:rPr>
        <w:t>电力企业应当于汛前对泄洪建筑物的闸门进行启闭试验，确保闸门及启闭设施正常运行。应配置独立可靠的大坝泄洪</w:t>
      </w:r>
      <w:r>
        <w:rPr>
          <w:rFonts w:ascii="仿宋" w:eastAsia="仿宋" w:hAnsi="仿宋" w:hint="eastAsia"/>
          <w:color w:val="000000"/>
          <w:sz w:val="32"/>
          <w:szCs w:val="32"/>
        </w:rPr>
        <w:lastRenderedPageBreak/>
        <w:t>闸门启闭应急电源或应急启闭装置，按制度定期检查、试验，确保应急电源或启闭装置可靠。</w:t>
      </w:r>
    </w:p>
    <w:p w14:paraId="61E927A0" w14:textId="77777777" w:rsidR="00630B50" w:rsidRDefault="00B51774">
      <w:pPr>
        <w:numPr>
          <w:ilvl w:val="255"/>
          <w:numId w:val="0"/>
        </w:numPr>
        <w:tabs>
          <w:tab w:val="left" w:pos="745"/>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（六）</w:t>
      </w:r>
      <w:r>
        <w:rPr>
          <w:rFonts w:ascii="仿宋" w:eastAsia="仿宋" w:hAnsi="仿宋"/>
          <w:color w:val="000000"/>
          <w:sz w:val="32"/>
          <w:szCs w:val="32"/>
        </w:rPr>
        <w:t>电力企业应当</w:t>
      </w:r>
      <w:r>
        <w:rPr>
          <w:rFonts w:ascii="仿宋" w:eastAsia="仿宋" w:hAnsi="仿宋" w:hint="eastAsia"/>
          <w:color w:val="000000"/>
          <w:sz w:val="32"/>
          <w:szCs w:val="32"/>
        </w:rPr>
        <w:t>根据工程运行特性和大坝</w:t>
      </w:r>
      <w:r>
        <w:rPr>
          <w:rFonts w:ascii="仿宋" w:eastAsia="仿宋" w:hAnsi="仿宋"/>
          <w:color w:val="000000"/>
          <w:sz w:val="32"/>
          <w:szCs w:val="32"/>
        </w:rPr>
        <w:t>泄洪消能方式</w:t>
      </w:r>
      <w:r>
        <w:rPr>
          <w:rFonts w:ascii="仿宋" w:eastAsia="仿宋" w:hAnsi="仿宋" w:hint="eastAsia"/>
          <w:color w:val="000000"/>
          <w:sz w:val="32"/>
          <w:szCs w:val="32"/>
        </w:rPr>
        <w:t>，分析评估泄洪雾化、泄洪消能设施结构破坏、工程边坡垮塌、</w:t>
      </w:r>
      <w:proofErr w:type="gramStart"/>
      <w:r>
        <w:rPr>
          <w:rFonts w:ascii="仿宋" w:eastAsia="仿宋" w:hAnsi="仿宋" w:hint="eastAsia"/>
          <w:color w:val="000000"/>
          <w:sz w:val="32"/>
          <w:szCs w:val="32"/>
        </w:rPr>
        <w:t>库水消落抬升</w:t>
      </w:r>
      <w:proofErr w:type="gramEnd"/>
      <w:r>
        <w:rPr>
          <w:rFonts w:ascii="仿宋" w:eastAsia="仿宋" w:hAnsi="仿宋" w:hint="eastAsia"/>
          <w:color w:val="000000"/>
          <w:sz w:val="32"/>
          <w:szCs w:val="32"/>
        </w:rPr>
        <w:t>所致库岸边坡失稳</w:t>
      </w:r>
      <w:r>
        <w:rPr>
          <w:rFonts w:ascii="仿宋" w:eastAsia="仿宋" w:hAnsi="仿宋"/>
          <w:color w:val="000000"/>
          <w:sz w:val="32"/>
          <w:szCs w:val="32"/>
        </w:rPr>
        <w:t>等</w:t>
      </w:r>
      <w:r>
        <w:rPr>
          <w:rFonts w:ascii="仿宋" w:eastAsia="仿宋" w:hAnsi="仿宋" w:hint="eastAsia"/>
          <w:color w:val="000000"/>
          <w:sz w:val="32"/>
          <w:szCs w:val="32"/>
        </w:rPr>
        <w:t>风险，采取工程或非工程处置管控措施。</w:t>
      </w:r>
    </w:p>
    <w:p w14:paraId="48A21584" w14:textId="77777777" w:rsidR="00630B50" w:rsidRDefault="00B51774">
      <w:pPr>
        <w:numPr>
          <w:ilvl w:val="255"/>
          <w:numId w:val="0"/>
        </w:numPr>
        <w:tabs>
          <w:tab w:val="left" w:pos="745"/>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w:t>
      </w:r>
      <w:r>
        <w:rPr>
          <w:rFonts w:ascii="仿宋" w:eastAsia="仿宋" w:hAnsi="仿宋"/>
          <w:color w:val="000000"/>
          <w:sz w:val="32"/>
          <w:szCs w:val="32"/>
        </w:rPr>
        <w:t>电力企业应当</w:t>
      </w:r>
      <w:r>
        <w:rPr>
          <w:rFonts w:ascii="仿宋" w:eastAsia="仿宋" w:hAnsi="仿宋" w:hint="eastAsia"/>
          <w:color w:val="000000"/>
          <w:sz w:val="32"/>
          <w:szCs w:val="32"/>
        </w:rPr>
        <w:t>落实汛期</w:t>
      </w:r>
      <w:r>
        <w:rPr>
          <w:rFonts w:ascii="仿宋" w:eastAsia="仿宋" w:hAnsi="仿宋"/>
          <w:color w:val="000000"/>
          <w:sz w:val="32"/>
          <w:szCs w:val="32"/>
        </w:rPr>
        <w:t>24小时值班和领导带班制度。</w:t>
      </w:r>
    </w:p>
    <w:p w14:paraId="0D20547B" w14:textId="77777777" w:rsidR="00630B50" w:rsidRDefault="00B51774">
      <w:pPr>
        <w:numPr>
          <w:ilvl w:val="0"/>
          <w:numId w:val="2"/>
        </w:numPr>
        <w:tabs>
          <w:tab w:val="left" w:pos="1701"/>
        </w:tabs>
        <w:spacing w:line="588" w:lineRule="exact"/>
        <w:ind w:left="8" w:firstLineChars="197" w:firstLine="633"/>
        <w:rPr>
          <w:rFonts w:ascii="仿宋" w:eastAsia="仿宋" w:hAnsi="仿宋"/>
          <w:color w:val="000000"/>
          <w:sz w:val="32"/>
          <w:szCs w:val="32"/>
        </w:rPr>
      </w:pPr>
      <w:r>
        <w:rPr>
          <w:rFonts w:ascii="仿宋" w:eastAsia="仿宋" w:hAnsi="仿宋" w:hint="eastAsia"/>
          <w:b/>
          <w:bCs/>
          <w:color w:val="000000"/>
          <w:sz w:val="32"/>
          <w:szCs w:val="32"/>
        </w:rPr>
        <w:t>【治安反恐】</w:t>
      </w:r>
      <w:r>
        <w:rPr>
          <w:rFonts w:ascii="仿宋" w:eastAsia="仿宋" w:hAnsi="仿宋" w:hint="eastAsia"/>
          <w:color w:val="000000"/>
          <w:sz w:val="32"/>
          <w:szCs w:val="32"/>
        </w:rPr>
        <w:t>电力企业应当根据确定的治安反恐防范重点目标等级，按照相关规范落实常态和非常态防范措施。</w:t>
      </w:r>
    </w:p>
    <w:p w14:paraId="2C5598E6"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themeColor="text1"/>
          <w:sz w:val="32"/>
          <w:szCs w:val="32"/>
        </w:rPr>
      </w:pPr>
      <w:r>
        <w:rPr>
          <w:rFonts w:ascii="仿宋" w:eastAsia="仿宋" w:hAnsi="仿宋" w:hint="eastAsia"/>
          <w:b/>
          <w:color w:val="000000"/>
          <w:kern w:val="0"/>
          <w:sz w:val="32"/>
          <w:szCs w:val="32"/>
        </w:rPr>
        <w:t>【信息共享】</w:t>
      </w:r>
      <w:r>
        <w:rPr>
          <w:rFonts w:ascii="仿宋" w:eastAsia="仿宋" w:hAnsi="仿宋" w:hint="eastAsia"/>
          <w:bCs/>
          <w:color w:val="000000"/>
          <w:kern w:val="0"/>
          <w:sz w:val="32"/>
          <w:szCs w:val="32"/>
        </w:rPr>
        <w:t>电力企业应当</w:t>
      </w:r>
      <w:r>
        <w:rPr>
          <w:rFonts w:ascii="仿宋" w:eastAsia="仿宋" w:hAnsi="仿宋" w:hint="eastAsia"/>
          <w:color w:val="000000" w:themeColor="text1"/>
          <w:sz w:val="32"/>
          <w:szCs w:val="32"/>
        </w:rPr>
        <w:t>建立水情测报系统，建立</w:t>
      </w:r>
      <w:r>
        <w:rPr>
          <w:rFonts w:ascii="仿宋" w:eastAsia="仿宋" w:hAnsi="仿宋" w:hint="eastAsia"/>
          <w:bCs/>
          <w:color w:val="000000"/>
          <w:kern w:val="0"/>
          <w:sz w:val="32"/>
          <w:szCs w:val="32"/>
        </w:rPr>
        <w:t>与政府相关部门和</w:t>
      </w:r>
      <w:r>
        <w:rPr>
          <w:rFonts w:ascii="仿宋" w:eastAsia="仿宋" w:hAnsi="仿宋" w:hint="eastAsia"/>
          <w:color w:val="000000" w:themeColor="text1"/>
          <w:sz w:val="32"/>
          <w:szCs w:val="32"/>
        </w:rPr>
        <w:t>上下游水库、水电站的信息共享机制，</w:t>
      </w:r>
      <w:r>
        <w:rPr>
          <w:rFonts w:ascii="仿宋" w:eastAsia="仿宋" w:hAnsi="仿宋" w:hint="eastAsia"/>
          <w:bCs/>
          <w:color w:val="000000"/>
          <w:kern w:val="0"/>
          <w:sz w:val="32"/>
          <w:szCs w:val="32"/>
        </w:rPr>
        <w:t>及时获取水情信息以及气象、洪水、地震、地质灾害等预警信息</w:t>
      </w:r>
      <w:r>
        <w:rPr>
          <w:rFonts w:ascii="仿宋" w:eastAsia="仿宋" w:hAnsi="仿宋" w:hint="eastAsia"/>
          <w:color w:val="000000" w:themeColor="text1"/>
          <w:sz w:val="32"/>
          <w:szCs w:val="32"/>
        </w:rPr>
        <w:t>。</w:t>
      </w:r>
    </w:p>
    <w:p w14:paraId="6AD77B74"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黑体" w:eastAsia="黑体" w:hAnsi="黑体"/>
          <w:bCs/>
          <w:color w:val="000000"/>
          <w:kern w:val="44"/>
          <w:sz w:val="32"/>
          <w:szCs w:val="32"/>
        </w:rPr>
      </w:pPr>
      <w:r>
        <w:rPr>
          <w:rFonts w:ascii="黑体" w:eastAsia="黑体" w:hAnsi="黑体" w:hint="eastAsia"/>
          <w:bCs/>
          <w:color w:val="000000"/>
          <w:kern w:val="44"/>
          <w:sz w:val="32"/>
          <w:szCs w:val="32"/>
        </w:rPr>
        <w:t>应急准备</w:t>
      </w:r>
    </w:p>
    <w:p w14:paraId="67A8116A" w14:textId="1A5BC0F6" w:rsidR="00630B50" w:rsidRDefault="00B51774">
      <w:pPr>
        <w:numPr>
          <w:ilvl w:val="0"/>
          <w:numId w:val="2"/>
        </w:numPr>
        <w:tabs>
          <w:tab w:val="left" w:pos="1701"/>
        </w:tabs>
        <w:spacing w:line="588" w:lineRule="exact"/>
        <w:ind w:left="0" w:firstLineChars="200" w:firstLine="643"/>
        <w:rPr>
          <w:rFonts w:ascii="仿宋" w:eastAsia="仿宋" w:hAnsi="仿宋"/>
          <w:i/>
          <w:color w:val="FF0000"/>
          <w:sz w:val="24"/>
          <w:szCs w:val="24"/>
        </w:rPr>
      </w:pPr>
      <w:r>
        <w:rPr>
          <w:rFonts w:ascii="仿宋" w:eastAsia="仿宋" w:hAnsi="仿宋" w:hint="eastAsia"/>
          <w:b/>
          <w:color w:val="000000"/>
          <w:sz w:val="32"/>
          <w:szCs w:val="32"/>
        </w:rPr>
        <w:t>【体系建设】</w:t>
      </w:r>
      <w:r>
        <w:rPr>
          <w:rFonts w:ascii="仿宋" w:eastAsia="仿宋" w:hAnsi="仿宋" w:hint="eastAsia"/>
          <w:color w:val="000000"/>
          <w:sz w:val="32"/>
          <w:szCs w:val="32"/>
        </w:rPr>
        <w:t>电力企业应当有效识别大坝应急管理的法律法规和技术标准，建立健全大坝应急管理组织体系和规章制度，完善大坝应急管理机制，</w:t>
      </w:r>
      <w:r>
        <w:rPr>
          <w:rFonts w:ascii="仿宋" w:eastAsia="仿宋" w:hAnsi="仿宋" w:hint="eastAsia"/>
          <w:bCs/>
          <w:color w:val="000000"/>
          <w:sz w:val="32"/>
          <w:szCs w:val="32"/>
        </w:rPr>
        <w:t>成立以主要</w:t>
      </w:r>
      <w:r>
        <w:rPr>
          <w:rFonts w:ascii="仿宋" w:eastAsia="仿宋" w:hAnsi="仿宋"/>
          <w:bCs/>
          <w:color w:val="000000"/>
          <w:sz w:val="32"/>
          <w:szCs w:val="32"/>
        </w:rPr>
        <w:t>负责人</w:t>
      </w:r>
      <w:r>
        <w:rPr>
          <w:rFonts w:ascii="仿宋" w:eastAsia="仿宋" w:hAnsi="仿宋" w:hint="eastAsia"/>
          <w:bCs/>
          <w:color w:val="000000"/>
          <w:sz w:val="32"/>
          <w:szCs w:val="32"/>
        </w:rPr>
        <w:t>为第一责任人的大坝应急管理机构</w:t>
      </w:r>
      <w:r>
        <w:rPr>
          <w:rFonts w:ascii="仿宋" w:eastAsia="仿宋" w:hAnsi="仿宋" w:hint="eastAsia"/>
          <w:color w:val="000000"/>
          <w:sz w:val="32"/>
          <w:szCs w:val="32"/>
        </w:rPr>
        <w:t>。</w:t>
      </w:r>
    </w:p>
    <w:p w14:paraId="35B10E83" w14:textId="77777777" w:rsidR="00630B50" w:rsidRDefault="00B51774">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iCs/>
          <w:sz w:val="32"/>
          <w:szCs w:val="32"/>
        </w:rPr>
        <w:t>【大坝预案】</w:t>
      </w:r>
      <w:r>
        <w:rPr>
          <w:rFonts w:ascii="仿宋" w:eastAsia="仿宋" w:hAnsi="仿宋" w:hint="eastAsia"/>
          <w:bCs/>
          <w:iCs/>
          <w:sz w:val="32"/>
          <w:szCs w:val="32"/>
        </w:rPr>
        <w:t>电力企业应当按照国家和行业有关技术标准，</w:t>
      </w:r>
      <w:r>
        <w:rPr>
          <w:rFonts w:ascii="仿宋" w:eastAsia="仿宋" w:hAnsi="仿宋" w:hint="eastAsia"/>
          <w:bCs/>
          <w:iCs/>
          <w:color w:val="000000"/>
          <w:sz w:val="32"/>
          <w:szCs w:val="32"/>
        </w:rPr>
        <w:t>结合本单位管理</w:t>
      </w:r>
      <w:r>
        <w:rPr>
          <w:rFonts w:ascii="仿宋" w:eastAsia="仿宋" w:hAnsi="仿宋" w:hint="eastAsia"/>
          <w:color w:val="000000"/>
          <w:sz w:val="32"/>
          <w:szCs w:val="32"/>
        </w:rPr>
        <w:t>和</w:t>
      </w:r>
      <w:r>
        <w:rPr>
          <w:rFonts w:ascii="仿宋" w:eastAsia="仿宋" w:hAnsi="仿宋" w:hint="eastAsia"/>
          <w:bCs/>
          <w:iCs/>
          <w:color w:val="000000"/>
          <w:sz w:val="32"/>
          <w:szCs w:val="32"/>
        </w:rPr>
        <w:t>工程实际，</w:t>
      </w:r>
      <w:r>
        <w:rPr>
          <w:rFonts w:ascii="仿宋" w:eastAsia="仿宋" w:hAnsi="仿宋" w:hint="eastAsia"/>
          <w:bCs/>
          <w:iCs/>
          <w:sz w:val="32"/>
          <w:szCs w:val="32"/>
        </w:rPr>
        <w:t>组织编制大坝运行安全应急预案</w:t>
      </w:r>
      <w:r>
        <w:rPr>
          <w:rFonts w:ascii="仿宋" w:eastAsia="仿宋" w:hAnsi="仿宋" w:hint="eastAsia"/>
          <w:color w:val="000000"/>
          <w:sz w:val="32"/>
          <w:szCs w:val="32"/>
        </w:rPr>
        <w:t>（以下简称大坝专项预案）</w:t>
      </w:r>
      <w:r>
        <w:rPr>
          <w:rFonts w:ascii="仿宋" w:eastAsia="仿宋" w:hAnsi="仿宋" w:hint="eastAsia"/>
          <w:bCs/>
          <w:iCs/>
          <w:sz w:val="32"/>
          <w:szCs w:val="32"/>
        </w:rPr>
        <w:t>，</w:t>
      </w:r>
      <w:r>
        <w:rPr>
          <w:rFonts w:ascii="仿宋" w:eastAsia="仿宋" w:hAnsi="仿宋" w:hint="eastAsia"/>
          <w:color w:val="000000"/>
          <w:sz w:val="32"/>
          <w:szCs w:val="32"/>
        </w:rPr>
        <w:t>与本企业的综合预案、其他专项预案，以及地方政府的相关预案衔接。重点明确以下事项。</w:t>
      </w:r>
    </w:p>
    <w:p w14:paraId="484B180E" w14:textId="77777777" w:rsidR="007C76C8" w:rsidRDefault="00B51774" w:rsidP="007C76C8">
      <w:pPr>
        <w:tabs>
          <w:tab w:val="left" w:pos="1701"/>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（一）涵</w:t>
      </w:r>
      <w:r>
        <w:rPr>
          <w:rFonts w:ascii="仿宋" w:eastAsia="仿宋" w:hAnsi="仿宋" w:hint="eastAsia"/>
          <w:bCs/>
          <w:iCs/>
          <w:color w:val="000000"/>
          <w:sz w:val="32"/>
          <w:szCs w:val="32"/>
        </w:rPr>
        <w:t>盖大坝运行全过程可能遭遇的各类突发事件。</w:t>
      </w:r>
    </w:p>
    <w:p w14:paraId="18D6A286" w14:textId="54908BAC" w:rsidR="00630B50" w:rsidRDefault="00B51774" w:rsidP="007C76C8">
      <w:pPr>
        <w:tabs>
          <w:tab w:val="left" w:pos="1701"/>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（二）根据法律法规的规定和突发事件可能导致的危害程度、影响范围等，对突发事件进行分类分级。</w:t>
      </w:r>
    </w:p>
    <w:p w14:paraId="7D25B6E8" w14:textId="77777777" w:rsidR="00630B50" w:rsidRDefault="00B51774">
      <w:pPr>
        <w:tabs>
          <w:tab w:val="left" w:pos="745"/>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（三）按照规定和突发事件发生的紧急程度、发展势态、可能造成的危害程度明确预警级别。明确预警发布、调整、解除的责任部门、程序和权限。</w:t>
      </w:r>
    </w:p>
    <w:p w14:paraId="2AE6E662" w14:textId="77777777" w:rsidR="00630B50" w:rsidRDefault="00B51774">
      <w:pPr>
        <w:tabs>
          <w:tab w:val="left" w:pos="745"/>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（四）根据突发事件可能造成的危害程度、影响范围和本企业控制事态能力、应急处置权限，对应急响应进行分级。</w:t>
      </w:r>
    </w:p>
    <w:p w14:paraId="7720FA11" w14:textId="77777777" w:rsidR="00630B50" w:rsidRDefault="00B51774">
      <w:pPr>
        <w:tabs>
          <w:tab w:val="left" w:pos="1701"/>
        </w:tabs>
        <w:spacing w:line="588" w:lineRule="exact"/>
        <w:rPr>
          <w:rFonts w:ascii="仿宋" w:eastAsia="仿宋" w:hAnsi="仿宋"/>
          <w:color w:val="000000"/>
          <w:sz w:val="32"/>
          <w:szCs w:val="32"/>
        </w:rPr>
      </w:pPr>
      <w:r>
        <w:rPr>
          <w:rFonts w:ascii="仿宋" w:eastAsia="仿宋" w:hAnsi="仿宋" w:hint="eastAsia"/>
          <w:color w:val="000000"/>
          <w:sz w:val="32"/>
          <w:szCs w:val="32"/>
        </w:rPr>
        <w:t>（五）明确紧急情况下的应急调度方案。</w:t>
      </w:r>
    </w:p>
    <w:p w14:paraId="47264E6B" w14:textId="77777777" w:rsidR="00630B50" w:rsidRDefault="00B51774">
      <w:pPr>
        <w:tabs>
          <w:tab w:val="left" w:pos="1701"/>
        </w:tabs>
        <w:spacing w:line="588" w:lineRule="exact"/>
        <w:rPr>
          <w:rFonts w:ascii="仿宋" w:eastAsia="仿宋" w:hAnsi="仿宋"/>
          <w:color w:val="000000"/>
          <w:sz w:val="32"/>
          <w:szCs w:val="32"/>
        </w:rPr>
      </w:pPr>
      <w:r>
        <w:rPr>
          <w:rFonts w:ascii="仿宋" w:eastAsia="仿宋" w:hAnsi="仿宋" w:hint="eastAsia"/>
          <w:color w:val="000000"/>
          <w:sz w:val="32"/>
          <w:szCs w:val="32"/>
        </w:rPr>
        <w:t>（六）确定可能的溃坝洪水淹没范围，绘制溃坝</w:t>
      </w:r>
      <w:r>
        <w:rPr>
          <w:rFonts w:ascii="仿宋" w:eastAsia="仿宋" w:hAnsi="仿宋"/>
          <w:color w:val="000000"/>
          <w:sz w:val="32"/>
          <w:szCs w:val="32"/>
        </w:rPr>
        <w:t>洪水</w:t>
      </w:r>
      <w:r>
        <w:rPr>
          <w:rFonts w:ascii="仿宋" w:eastAsia="仿宋" w:hAnsi="仿宋" w:hint="eastAsia"/>
          <w:color w:val="000000"/>
          <w:sz w:val="32"/>
          <w:szCs w:val="32"/>
        </w:rPr>
        <w:t>淹没</w:t>
      </w:r>
      <w:r>
        <w:rPr>
          <w:rFonts w:ascii="仿宋" w:eastAsia="仿宋" w:hAnsi="仿宋"/>
          <w:color w:val="000000"/>
          <w:sz w:val="32"/>
          <w:szCs w:val="32"/>
        </w:rPr>
        <w:t>图</w:t>
      </w:r>
      <w:r>
        <w:rPr>
          <w:rFonts w:ascii="仿宋" w:eastAsia="仿宋" w:hAnsi="仿宋" w:hint="eastAsia"/>
          <w:color w:val="000000"/>
          <w:sz w:val="32"/>
          <w:szCs w:val="32"/>
        </w:rPr>
        <w:t>。</w:t>
      </w:r>
    </w:p>
    <w:p w14:paraId="239B3C9C" w14:textId="77777777" w:rsidR="00630B50" w:rsidRDefault="00B51774">
      <w:pPr>
        <w:numPr>
          <w:ilvl w:val="0"/>
          <w:numId w:val="2"/>
        </w:numPr>
        <w:tabs>
          <w:tab w:val="left" w:pos="1701"/>
        </w:tabs>
        <w:spacing w:line="588" w:lineRule="exact"/>
        <w:ind w:firstLineChars="200" w:firstLine="643"/>
        <w:rPr>
          <w:rFonts w:ascii="仿宋" w:eastAsia="仿宋" w:hAnsi="仿宋"/>
          <w:bCs/>
          <w:color w:val="000000"/>
          <w:sz w:val="32"/>
          <w:szCs w:val="32"/>
        </w:rPr>
      </w:pPr>
      <w:r>
        <w:rPr>
          <w:rFonts w:ascii="仿宋" w:eastAsia="仿宋" w:hAnsi="仿宋" w:hint="eastAsia"/>
          <w:b/>
          <w:color w:val="000000"/>
          <w:sz w:val="32"/>
          <w:szCs w:val="32"/>
        </w:rPr>
        <w:t>【预案管理】</w:t>
      </w:r>
      <w:r>
        <w:rPr>
          <w:rFonts w:ascii="仿宋" w:eastAsia="仿宋" w:hAnsi="仿宋" w:hint="eastAsia"/>
          <w:bCs/>
          <w:color w:val="000000"/>
          <w:sz w:val="32"/>
          <w:szCs w:val="32"/>
        </w:rPr>
        <w:t>电力企业应当按照《电力企业应急预案管理办法》对大坝专项预案组织评审、办理备案、发布实施、组织修订。电力企业</w:t>
      </w:r>
      <w:r>
        <w:rPr>
          <w:rFonts w:ascii="仿宋" w:eastAsia="仿宋" w:hAnsi="仿宋" w:hint="eastAsia"/>
          <w:color w:val="000000"/>
          <w:sz w:val="32"/>
          <w:szCs w:val="32"/>
        </w:rPr>
        <w:t>应当按照规定开展大坝专项预案的宣贯培训，每年组织一次演练，并根据演练结果及时修订完善预案。</w:t>
      </w:r>
    </w:p>
    <w:p w14:paraId="1570E911" w14:textId="77777777" w:rsidR="00630B50" w:rsidRDefault="00B51774" w:rsidP="00D963C2">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【应急保障】</w:t>
      </w:r>
      <w:r>
        <w:rPr>
          <w:rFonts w:ascii="仿宋" w:eastAsia="仿宋" w:hAnsi="仿宋" w:hint="eastAsia"/>
          <w:color w:val="000000"/>
          <w:sz w:val="32"/>
          <w:szCs w:val="32"/>
        </w:rPr>
        <w:t>电</w:t>
      </w:r>
      <w:r>
        <w:rPr>
          <w:rFonts w:ascii="仿宋" w:eastAsia="仿宋" w:hAnsi="仿宋" w:hint="eastAsia"/>
          <w:bCs/>
          <w:color w:val="000000"/>
          <w:sz w:val="32"/>
          <w:szCs w:val="32"/>
        </w:rPr>
        <w:t>力企业</w:t>
      </w:r>
      <w:r>
        <w:rPr>
          <w:rFonts w:ascii="仿宋" w:eastAsia="仿宋" w:hAnsi="仿宋" w:hint="eastAsia"/>
          <w:color w:val="000000"/>
          <w:sz w:val="32"/>
          <w:szCs w:val="32"/>
        </w:rPr>
        <w:t>应当完善应急资源保障，</w:t>
      </w:r>
      <w:r>
        <w:rPr>
          <w:rFonts w:ascii="仿宋" w:eastAsia="仿宋" w:hAnsi="仿宋"/>
          <w:color w:val="000000"/>
          <w:sz w:val="32"/>
          <w:szCs w:val="32"/>
        </w:rPr>
        <w:t>储备</w:t>
      </w:r>
      <w:r>
        <w:rPr>
          <w:rFonts w:ascii="仿宋" w:eastAsia="仿宋" w:hAnsi="仿宋" w:hint="eastAsia"/>
          <w:color w:val="000000"/>
          <w:sz w:val="32"/>
          <w:szCs w:val="32"/>
        </w:rPr>
        <w:t>必要的</w:t>
      </w:r>
      <w:r>
        <w:rPr>
          <w:rFonts w:ascii="仿宋" w:eastAsia="仿宋" w:hAnsi="仿宋"/>
          <w:color w:val="000000"/>
          <w:sz w:val="32"/>
          <w:szCs w:val="32"/>
        </w:rPr>
        <w:t>应急物资</w:t>
      </w:r>
      <w:r>
        <w:rPr>
          <w:rFonts w:ascii="仿宋" w:eastAsia="仿宋" w:hAnsi="仿宋" w:hint="eastAsia"/>
          <w:color w:val="000000"/>
          <w:sz w:val="32"/>
          <w:szCs w:val="32"/>
        </w:rPr>
        <w:t>和装备并妥善保管，定期开展检查，确保应急物资和装备完好。需要外部支援的，应当与有关单位签订</w:t>
      </w:r>
      <w:r>
        <w:rPr>
          <w:rFonts w:ascii="仿宋" w:eastAsia="仿宋" w:hAnsi="仿宋"/>
          <w:color w:val="000000"/>
          <w:sz w:val="32"/>
          <w:szCs w:val="32"/>
        </w:rPr>
        <w:t>应急</w:t>
      </w:r>
      <w:r>
        <w:rPr>
          <w:rFonts w:ascii="仿宋" w:eastAsia="仿宋" w:hAnsi="仿宋" w:hint="eastAsia"/>
          <w:color w:val="000000"/>
          <w:sz w:val="32"/>
          <w:szCs w:val="32"/>
        </w:rPr>
        <w:t>物资</w:t>
      </w:r>
      <w:r>
        <w:rPr>
          <w:rFonts w:ascii="仿宋" w:eastAsia="仿宋" w:hAnsi="仿宋"/>
          <w:color w:val="000000"/>
          <w:sz w:val="32"/>
          <w:szCs w:val="32"/>
        </w:rPr>
        <w:t>支援</w:t>
      </w:r>
      <w:r>
        <w:rPr>
          <w:rFonts w:ascii="仿宋" w:eastAsia="仿宋" w:hAnsi="仿宋" w:hint="eastAsia"/>
          <w:color w:val="000000"/>
          <w:sz w:val="32"/>
          <w:szCs w:val="32"/>
        </w:rPr>
        <w:t>协议。</w:t>
      </w:r>
    </w:p>
    <w:p w14:paraId="27A9F417" w14:textId="77777777" w:rsidR="00630B50" w:rsidRDefault="00B51774" w:rsidP="00D963C2">
      <w:pPr>
        <w:numPr>
          <w:ilvl w:val="0"/>
          <w:numId w:val="2"/>
        </w:numPr>
        <w:tabs>
          <w:tab w:val="left" w:pos="1701"/>
        </w:tabs>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b/>
          <w:bCs/>
          <w:color w:val="000000"/>
          <w:sz w:val="32"/>
          <w:szCs w:val="32"/>
        </w:rPr>
        <w:t>应急队伍</w:t>
      </w:r>
      <w:r>
        <w:rPr>
          <w:rFonts w:ascii="仿宋" w:eastAsia="仿宋" w:hAnsi="仿宋" w:hint="eastAsia"/>
          <w:color w:val="000000"/>
          <w:sz w:val="32"/>
          <w:szCs w:val="32"/>
        </w:rPr>
        <w:t>】电力企业应当组建常备专（兼）职应急抢险和专家队伍。专（兼）职应急抢险人员应当</w:t>
      </w:r>
      <w:r>
        <w:rPr>
          <w:rFonts w:ascii="仿宋" w:eastAsia="仿宋" w:hAnsi="仿宋"/>
          <w:color w:val="000000"/>
          <w:sz w:val="32"/>
          <w:szCs w:val="32"/>
        </w:rPr>
        <w:t>具备必要的专业知识、技能</w:t>
      </w:r>
      <w:r>
        <w:rPr>
          <w:rFonts w:ascii="仿宋" w:eastAsia="仿宋" w:hAnsi="仿宋" w:hint="eastAsia"/>
          <w:color w:val="000000"/>
          <w:sz w:val="32"/>
          <w:szCs w:val="32"/>
        </w:rPr>
        <w:t>和</w:t>
      </w:r>
      <w:r>
        <w:rPr>
          <w:rFonts w:ascii="仿宋" w:eastAsia="仿宋" w:hAnsi="仿宋"/>
          <w:color w:val="000000"/>
          <w:sz w:val="32"/>
          <w:szCs w:val="32"/>
        </w:rPr>
        <w:t>素质</w:t>
      </w:r>
      <w:r>
        <w:rPr>
          <w:rFonts w:ascii="仿宋" w:eastAsia="仿宋" w:hAnsi="仿宋" w:hint="eastAsia"/>
          <w:color w:val="000000"/>
          <w:sz w:val="32"/>
          <w:szCs w:val="32"/>
        </w:rPr>
        <w:t>，并</w:t>
      </w:r>
      <w:r>
        <w:rPr>
          <w:rFonts w:ascii="仿宋" w:eastAsia="仿宋" w:hAnsi="仿宋"/>
          <w:color w:val="000000"/>
          <w:sz w:val="32"/>
          <w:szCs w:val="32"/>
        </w:rPr>
        <w:t>定期组织训练。</w:t>
      </w:r>
    </w:p>
    <w:p w14:paraId="3E05D1B3" w14:textId="77777777" w:rsidR="00630B50" w:rsidRDefault="00B51774" w:rsidP="00895FAB">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【协调联动】</w:t>
      </w:r>
      <w:r>
        <w:rPr>
          <w:rFonts w:ascii="仿宋" w:eastAsia="仿宋" w:hAnsi="仿宋" w:hint="eastAsia"/>
          <w:color w:val="000000"/>
          <w:sz w:val="32"/>
          <w:szCs w:val="32"/>
        </w:rPr>
        <w:t>电力企业</w:t>
      </w:r>
      <w:r>
        <w:rPr>
          <w:rFonts w:ascii="仿宋" w:eastAsia="仿宋" w:hAnsi="仿宋"/>
          <w:color w:val="000000"/>
          <w:sz w:val="32"/>
          <w:szCs w:val="32"/>
        </w:rPr>
        <w:t>应当与</w:t>
      </w:r>
      <w:r>
        <w:rPr>
          <w:rFonts w:ascii="仿宋" w:eastAsia="仿宋" w:hAnsi="仿宋" w:hint="eastAsia"/>
          <w:color w:val="000000"/>
          <w:sz w:val="32"/>
          <w:szCs w:val="32"/>
        </w:rPr>
        <w:t>地方</w:t>
      </w:r>
      <w:r>
        <w:rPr>
          <w:rFonts w:ascii="仿宋" w:eastAsia="仿宋" w:hAnsi="仿宋"/>
          <w:color w:val="000000"/>
          <w:sz w:val="32"/>
          <w:szCs w:val="32"/>
        </w:rPr>
        <w:t>政府</w:t>
      </w:r>
      <w:r>
        <w:rPr>
          <w:rFonts w:ascii="仿宋" w:eastAsia="仿宋" w:hAnsi="仿宋" w:hint="eastAsia"/>
          <w:color w:val="000000"/>
          <w:sz w:val="32"/>
          <w:szCs w:val="32"/>
        </w:rPr>
        <w:t>有关部门和相关</w:t>
      </w:r>
      <w:r>
        <w:rPr>
          <w:rFonts w:ascii="仿宋" w:eastAsia="仿宋" w:hAnsi="仿宋"/>
          <w:color w:val="000000"/>
          <w:sz w:val="32"/>
          <w:szCs w:val="32"/>
        </w:rPr>
        <w:t>单位建立</w:t>
      </w:r>
      <w:r>
        <w:rPr>
          <w:rFonts w:ascii="仿宋" w:eastAsia="仿宋" w:hAnsi="仿宋" w:hint="eastAsia"/>
          <w:color w:val="000000"/>
          <w:sz w:val="32"/>
          <w:szCs w:val="32"/>
        </w:rPr>
        <w:t>应急协调</w:t>
      </w:r>
      <w:r>
        <w:rPr>
          <w:rFonts w:ascii="仿宋" w:eastAsia="仿宋" w:hAnsi="仿宋"/>
          <w:color w:val="000000"/>
          <w:sz w:val="32"/>
          <w:szCs w:val="32"/>
        </w:rPr>
        <w:t>联动机制，</w:t>
      </w:r>
      <w:r>
        <w:rPr>
          <w:rFonts w:ascii="仿宋" w:eastAsia="仿宋" w:hAnsi="仿宋" w:hint="eastAsia"/>
          <w:color w:val="000000"/>
          <w:sz w:val="32"/>
          <w:szCs w:val="32"/>
        </w:rPr>
        <w:t>积极推进联合应急演练</w:t>
      </w:r>
      <w:r>
        <w:rPr>
          <w:rFonts w:ascii="仿宋" w:eastAsia="仿宋" w:hAnsi="仿宋"/>
          <w:color w:val="000000"/>
          <w:sz w:val="32"/>
          <w:szCs w:val="32"/>
        </w:rPr>
        <w:t>。</w:t>
      </w:r>
    </w:p>
    <w:p w14:paraId="004A947A" w14:textId="0929BFAF" w:rsidR="00630B50" w:rsidRDefault="00B51774">
      <w:pPr>
        <w:numPr>
          <w:ilvl w:val="0"/>
          <w:numId w:val="2"/>
        </w:numPr>
        <w:tabs>
          <w:tab w:val="left" w:pos="1701"/>
        </w:tabs>
        <w:spacing w:line="588" w:lineRule="exact"/>
        <w:ind w:firstLineChars="200" w:firstLine="643"/>
        <w:rPr>
          <w:rFonts w:ascii="仿宋" w:eastAsia="仿宋" w:hAnsi="仿宋"/>
          <w:i/>
          <w:color w:val="FF0000"/>
          <w:sz w:val="24"/>
          <w:szCs w:val="24"/>
        </w:rPr>
      </w:pPr>
      <w:r>
        <w:rPr>
          <w:rFonts w:ascii="仿宋" w:eastAsia="仿宋" w:hAnsi="仿宋" w:hint="eastAsia"/>
          <w:b/>
          <w:bCs/>
          <w:color w:val="000000"/>
          <w:sz w:val="32"/>
          <w:szCs w:val="32"/>
        </w:rPr>
        <w:t>【信息系统】</w:t>
      </w:r>
      <w:r>
        <w:rPr>
          <w:rFonts w:ascii="仿宋" w:eastAsia="仿宋" w:hAnsi="仿宋" w:hint="eastAsia"/>
          <w:color w:val="000000"/>
          <w:sz w:val="32"/>
          <w:szCs w:val="32"/>
        </w:rPr>
        <w:t>电力企业应当实现突发事件信息的及时获取、报送和</w:t>
      </w:r>
      <w:r>
        <w:rPr>
          <w:rFonts w:ascii="仿宋" w:eastAsia="仿宋" w:hAnsi="仿宋"/>
          <w:color w:val="000000"/>
          <w:sz w:val="32"/>
          <w:szCs w:val="32"/>
        </w:rPr>
        <w:t>共享</w:t>
      </w:r>
      <w:r>
        <w:rPr>
          <w:rFonts w:ascii="仿宋" w:eastAsia="仿宋" w:hAnsi="仿宋" w:hint="eastAsia"/>
          <w:color w:val="000000"/>
          <w:sz w:val="32"/>
          <w:szCs w:val="32"/>
        </w:rPr>
        <w:t>，积极与派出机构、地方电力管理等有关部门和大坝中心的应急平台互联互通。</w:t>
      </w:r>
    </w:p>
    <w:p w14:paraId="482EB4A2"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黑体" w:eastAsia="黑体" w:hAnsi="黑体" w:cs="黑体"/>
          <w:color w:val="000000"/>
          <w:sz w:val="32"/>
          <w:szCs w:val="32"/>
        </w:rPr>
      </w:pPr>
      <w:bookmarkStart w:id="2" w:name="_Hlk81226949"/>
      <w:r>
        <w:rPr>
          <w:rFonts w:ascii="黑体" w:eastAsia="黑体" w:hAnsi="黑体" w:cs="黑体" w:hint="eastAsia"/>
          <w:bCs/>
          <w:color w:val="000000"/>
          <w:kern w:val="44"/>
          <w:sz w:val="32"/>
          <w:szCs w:val="32"/>
        </w:rPr>
        <w:t>监测预警与应急响应</w:t>
      </w:r>
      <w:bookmarkEnd w:id="2"/>
    </w:p>
    <w:p w14:paraId="42D47A0D" w14:textId="77777777" w:rsidR="00630B50" w:rsidRDefault="00B51774">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color w:val="000000"/>
          <w:kern w:val="0"/>
          <w:sz w:val="32"/>
          <w:szCs w:val="32"/>
        </w:rPr>
        <w:t>【事件预警】</w:t>
      </w:r>
      <w:r>
        <w:rPr>
          <w:rFonts w:ascii="仿宋" w:eastAsia="仿宋" w:hAnsi="仿宋" w:hint="eastAsia"/>
          <w:color w:val="000000"/>
          <w:sz w:val="32"/>
          <w:szCs w:val="32"/>
        </w:rPr>
        <w:t>电力企业应当建立健全突发事件预警制度，明确预警工作机制。发生或可能发生突发事件时，电力企业应当按照规定权限和程序及时发布预警信息，采取相应的预警行动。涉及上下游社会生产生活的突发事件的监测预警信息，应当及时向地方政府和有关部门报告。</w:t>
      </w:r>
    </w:p>
    <w:p w14:paraId="6C5B2CB9" w14:textId="445032B7" w:rsidR="00630B50" w:rsidRDefault="00B51774" w:rsidP="001D17E3">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【处置响应】</w:t>
      </w:r>
      <w:r>
        <w:rPr>
          <w:rFonts w:ascii="仿宋" w:eastAsia="仿宋" w:hAnsi="仿宋" w:hint="eastAsia"/>
          <w:color w:val="000000"/>
          <w:sz w:val="32"/>
          <w:szCs w:val="32"/>
        </w:rPr>
        <w:t>发生突发事件后，电力企业应当立即按照大坝专项预案启动应急响应，采取先期处置措施，控制事态发展，</w:t>
      </w:r>
      <w:r>
        <w:rPr>
          <w:rFonts w:ascii="仿宋" w:eastAsia="仿宋" w:hAnsi="仿宋"/>
          <w:color w:val="000000"/>
          <w:sz w:val="32"/>
          <w:szCs w:val="32"/>
        </w:rPr>
        <w:t>防止次生灾害发生</w:t>
      </w:r>
      <w:r>
        <w:rPr>
          <w:rFonts w:ascii="仿宋" w:eastAsia="仿宋" w:hAnsi="仿宋" w:hint="eastAsia"/>
          <w:color w:val="000000"/>
          <w:sz w:val="32"/>
          <w:szCs w:val="32"/>
        </w:rPr>
        <w:t>，按照规定及时报告派出机构、地方电力管理等有关部门、大坝中心和调度等相关单位。</w:t>
      </w:r>
    </w:p>
    <w:p w14:paraId="00CF938C" w14:textId="77777777" w:rsidR="00630B50" w:rsidRDefault="00B51774">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color w:val="000000"/>
          <w:kern w:val="0"/>
          <w:sz w:val="32"/>
          <w:szCs w:val="32"/>
        </w:rPr>
        <w:t>【应急调度】</w:t>
      </w:r>
      <w:r>
        <w:rPr>
          <w:rFonts w:ascii="仿宋" w:eastAsia="仿宋" w:hAnsi="仿宋" w:hint="eastAsia"/>
          <w:color w:val="000000"/>
          <w:sz w:val="32"/>
          <w:szCs w:val="32"/>
        </w:rPr>
        <w:t>发生突发事件后，电力企业应当按照调度机构的指令采取调度措施。紧急情况下，电力企业应当按照大坝专项预案确定的应急调度方案进行应急调度，并及时补报调度机构。</w:t>
      </w:r>
    </w:p>
    <w:p w14:paraId="365C0959"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kern w:val="0"/>
          <w:sz w:val="32"/>
          <w:szCs w:val="32"/>
        </w:rPr>
        <w:lastRenderedPageBreak/>
        <w:t>【事件监测】</w:t>
      </w:r>
      <w:r>
        <w:rPr>
          <w:rFonts w:ascii="仿宋" w:eastAsia="仿宋" w:hAnsi="仿宋" w:hint="eastAsia"/>
          <w:color w:val="000000"/>
          <w:sz w:val="32"/>
          <w:szCs w:val="32"/>
        </w:rPr>
        <w:t>电力企业在遭遇突发事件后，应当加强事件发展和大坝运行性态等情况监测，预测事件发展趋势、</w:t>
      </w:r>
      <w:proofErr w:type="gramStart"/>
      <w:r>
        <w:rPr>
          <w:rFonts w:ascii="仿宋" w:eastAsia="仿宋" w:hAnsi="仿宋" w:hint="eastAsia"/>
          <w:color w:val="000000"/>
          <w:sz w:val="32"/>
          <w:szCs w:val="32"/>
        </w:rPr>
        <w:t>研判事件</w:t>
      </w:r>
      <w:proofErr w:type="gramEnd"/>
      <w:r>
        <w:rPr>
          <w:rFonts w:ascii="仿宋" w:eastAsia="仿宋" w:hAnsi="仿宋" w:hint="eastAsia"/>
          <w:color w:val="000000"/>
          <w:sz w:val="32"/>
          <w:szCs w:val="32"/>
        </w:rPr>
        <w:t>对大坝运行安全的影响。</w:t>
      </w:r>
    </w:p>
    <w:p w14:paraId="03DF6A9D"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sz w:val="32"/>
          <w:szCs w:val="32"/>
        </w:rPr>
        <w:t>【</w:t>
      </w:r>
      <w:r>
        <w:rPr>
          <w:rFonts w:ascii="Times New Roman" w:eastAsia="仿宋" w:hAnsi="Times New Roman" w:hint="eastAsia"/>
          <w:b/>
          <w:color w:val="000000"/>
          <w:sz w:val="32"/>
          <w:szCs w:val="32"/>
        </w:rPr>
        <w:t>处置</w:t>
      </w:r>
      <w:r>
        <w:rPr>
          <w:rFonts w:ascii="仿宋" w:eastAsia="仿宋" w:hAnsi="仿宋" w:hint="eastAsia"/>
          <w:b/>
          <w:color w:val="000000"/>
          <w:sz w:val="32"/>
          <w:szCs w:val="32"/>
        </w:rPr>
        <w:t>升级】</w:t>
      </w:r>
      <w:r>
        <w:rPr>
          <w:rFonts w:ascii="仿宋" w:eastAsia="仿宋" w:hAnsi="仿宋" w:hint="eastAsia"/>
          <w:color w:val="000000"/>
          <w:sz w:val="32"/>
          <w:szCs w:val="32"/>
        </w:rPr>
        <w:t>突发事件持续发展，可能超出大坝设防标准，或事件危害程度超出自身处置能力时，电力企业在开展先期处置的同时，应当立即报告地方政府，并通报上下游相关单位，提请地方政府提供支援或启动更高级别响应。</w:t>
      </w:r>
    </w:p>
    <w:p w14:paraId="2D09A85B"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sz w:val="32"/>
          <w:szCs w:val="32"/>
        </w:rPr>
        <w:t>【人身安全】</w:t>
      </w:r>
      <w:r>
        <w:rPr>
          <w:rFonts w:ascii="仿宋" w:eastAsia="仿宋" w:hAnsi="仿宋" w:hint="eastAsia"/>
          <w:color w:val="000000"/>
          <w:sz w:val="32"/>
          <w:szCs w:val="32"/>
        </w:rPr>
        <w:t>应急处置过程中，电力企业应当密切关注周边环境和事件态势变化，落实安全防护措施，必要时立即撤离现场人员，确保应急处置人员安全。</w:t>
      </w:r>
    </w:p>
    <w:p w14:paraId="668C820C"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黑体" w:eastAsia="黑体" w:hAnsi="黑体"/>
          <w:bCs/>
          <w:color w:val="000000"/>
          <w:kern w:val="44"/>
          <w:sz w:val="32"/>
          <w:szCs w:val="32"/>
        </w:rPr>
      </w:pPr>
      <w:r>
        <w:rPr>
          <w:rFonts w:ascii="黑体" w:eastAsia="黑体" w:hAnsi="黑体" w:hint="eastAsia"/>
          <w:bCs/>
          <w:color w:val="000000"/>
          <w:kern w:val="44"/>
          <w:sz w:val="32"/>
          <w:szCs w:val="32"/>
        </w:rPr>
        <w:t>总结评估</w:t>
      </w:r>
    </w:p>
    <w:p w14:paraId="37660224"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sz w:val="32"/>
          <w:szCs w:val="32"/>
        </w:rPr>
        <w:t>【事件总结】</w:t>
      </w:r>
      <w:r>
        <w:rPr>
          <w:rFonts w:ascii="仿宋" w:eastAsia="仿宋" w:hAnsi="仿宋" w:hint="eastAsia"/>
          <w:color w:val="000000"/>
          <w:sz w:val="32"/>
          <w:szCs w:val="32"/>
        </w:rPr>
        <w:t>电力企业</w:t>
      </w:r>
      <w:r>
        <w:rPr>
          <w:rFonts w:ascii="仿宋" w:eastAsia="仿宋" w:hAnsi="仿宋"/>
          <w:color w:val="000000"/>
          <w:sz w:val="32"/>
          <w:szCs w:val="32"/>
        </w:rPr>
        <w:t>应</w:t>
      </w:r>
      <w:r>
        <w:rPr>
          <w:rFonts w:ascii="仿宋" w:eastAsia="仿宋" w:hAnsi="仿宋" w:hint="eastAsia"/>
          <w:color w:val="000000"/>
          <w:sz w:val="32"/>
          <w:szCs w:val="32"/>
        </w:rPr>
        <w:t>当在应急响应结束后，分析</w:t>
      </w:r>
      <w:r>
        <w:rPr>
          <w:rFonts w:ascii="仿宋" w:eastAsia="仿宋" w:hAnsi="仿宋"/>
          <w:color w:val="000000"/>
          <w:sz w:val="32"/>
          <w:szCs w:val="32"/>
        </w:rPr>
        <w:t>事件</w:t>
      </w:r>
      <w:r>
        <w:rPr>
          <w:rFonts w:ascii="仿宋" w:eastAsia="仿宋" w:hAnsi="仿宋" w:hint="eastAsia"/>
          <w:color w:val="000000"/>
          <w:sz w:val="32"/>
          <w:szCs w:val="32"/>
        </w:rPr>
        <w:t>发生原因，总结事件发展演变过程，统计造成的破坏后果，评估</w:t>
      </w:r>
      <w:r>
        <w:rPr>
          <w:rFonts w:ascii="仿宋" w:eastAsia="仿宋" w:hAnsi="仿宋"/>
          <w:color w:val="000000"/>
          <w:sz w:val="32"/>
          <w:szCs w:val="32"/>
        </w:rPr>
        <w:t>大坝安全状态</w:t>
      </w:r>
      <w:r>
        <w:rPr>
          <w:rFonts w:ascii="仿宋" w:eastAsia="仿宋" w:hAnsi="仿宋" w:hint="eastAsia"/>
          <w:color w:val="000000"/>
          <w:sz w:val="32"/>
          <w:szCs w:val="32"/>
        </w:rPr>
        <w:t>及</w:t>
      </w:r>
      <w:r>
        <w:rPr>
          <w:rFonts w:ascii="仿宋" w:eastAsia="仿宋" w:hAnsi="仿宋"/>
          <w:color w:val="000000"/>
          <w:sz w:val="32"/>
          <w:szCs w:val="32"/>
        </w:rPr>
        <w:t>后续风险，必要时</w:t>
      </w:r>
      <w:r>
        <w:rPr>
          <w:rFonts w:ascii="仿宋" w:eastAsia="仿宋" w:hAnsi="仿宋" w:hint="eastAsia"/>
          <w:color w:val="000000"/>
          <w:sz w:val="32"/>
          <w:szCs w:val="32"/>
        </w:rPr>
        <w:t>开展专项</w:t>
      </w:r>
      <w:r>
        <w:rPr>
          <w:rFonts w:ascii="仿宋" w:eastAsia="仿宋" w:hAnsi="仿宋"/>
          <w:color w:val="000000"/>
          <w:sz w:val="32"/>
          <w:szCs w:val="32"/>
        </w:rPr>
        <w:t>检查。</w:t>
      </w:r>
    </w:p>
    <w:p w14:paraId="5F6CFB9D" w14:textId="77777777" w:rsidR="00630B50" w:rsidRDefault="00B51774">
      <w:pPr>
        <w:numPr>
          <w:ilvl w:val="0"/>
          <w:numId w:val="2"/>
        </w:numPr>
        <w:tabs>
          <w:tab w:val="left" w:pos="1701"/>
        </w:tabs>
        <w:spacing w:line="588" w:lineRule="exact"/>
        <w:ind w:left="0" w:firstLineChars="200" w:firstLine="64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b/>
          <w:bCs/>
          <w:color w:val="000000"/>
          <w:sz w:val="32"/>
          <w:szCs w:val="32"/>
        </w:rPr>
        <w:t>处置评估</w:t>
      </w:r>
      <w:r>
        <w:rPr>
          <w:rFonts w:ascii="仿宋" w:eastAsia="仿宋" w:hAnsi="仿宋" w:hint="eastAsia"/>
          <w:color w:val="000000"/>
          <w:sz w:val="32"/>
          <w:szCs w:val="32"/>
        </w:rPr>
        <w:t>】电力企业应当开展处置评估，详细回溯事件处置全过程，分析各个响应环节和各项处置措施的效果和不足，评估应急制度机制和应急处置措施的有效性，提出改进意见建议。</w:t>
      </w:r>
    </w:p>
    <w:p w14:paraId="72FD9C62" w14:textId="77777777" w:rsidR="00630B50" w:rsidRDefault="00B51774">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bCs/>
          <w:color w:val="000000"/>
          <w:sz w:val="32"/>
          <w:szCs w:val="32"/>
        </w:rPr>
        <w:t>【成果应用】</w:t>
      </w:r>
      <w:r>
        <w:rPr>
          <w:rFonts w:ascii="仿宋" w:eastAsia="仿宋" w:hAnsi="仿宋" w:hint="eastAsia"/>
          <w:color w:val="000000"/>
          <w:sz w:val="32"/>
          <w:szCs w:val="32"/>
        </w:rPr>
        <w:t>电力企业应当根据总结评估成果制定整改措施，必要时修订大坝专项预案和大坝应急管理制度，完善大坝应急管理机制。</w:t>
      </w:r>
    </w:p>
    <w:p w14:paraId="06656074"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黑体" w:eastAsia="黑体" w:hAnsi="黑体"/>
          <w:bCs/>
          <w:color w:val="000000"/>
          <w:kern w:val="44"/>
          <w:sz w:val="32"/>
          <w:szCs w:val="32"/>
        </w:rPr>
      </w:pPr>
      <w:r>
        <w:rPr>
          <w:rFonts w:ascii="黑体" w:eastAsia="黑体" w:hAnsi="黑体" w:hint="eastAsia"/>
          <w:bCs/>
          <w:color w:val="000000"/>
          <w:kern w:val="44"/>
          <w:sz w:val="32"/>
          <w:szCs w:val="32"/>
        </w:rPr>
        <w:lastRenderedPageBreak/>
        <w:t>信息报送</w:t>
      </w:r>
    </w:p>
    <w:p w14:paraId="7A31F790" w14:textId="77777777" w:rsidR="00630B50" w:rsidRDefault="00B51774">
      <w:pPr>
        <w:numPr>
          <w:ilvl w:val="0"/>
          <w:numId w:val="2"/>
        </w:numPr>
        <w:tabs>
          <w:tab w:val="left" w:pos="1701"/>
        </w:tabs>
        <w:spacing w:line="588" w:lineRule="exact"/>
        <w:ind w:left="0" w:firstLineChars="200" w:firstLine="643"/>
        <w:rPr>
          <w:rFonts w:ascii="仿宋" w:eastAsia="仿宋" w:hAnsi="仿宋"/>
          <w:color w:val="000000"/>
          <w:sz w:val="32"/>
          <w:szCs w:val="32"/>
        </w:rPr>
      </w:pPr>
      <w:r>
        <w:rPr>
          <w:rFonts w:ascii="仿宋" w:eastAsia="仿宋" w:hAnsi="仿宋" w:hint="eastAsia"/>
          <w:b/>
          <w:color w:val="000000"/>
          <w:kern w:val="0"/>
          <w:sz w:val="32"/>
          <w:szCs w:val="32"/>
        </w:rPr>
        <w:t>【责任制度】</w:t>
      </w:r>
      <w:r>
        <w:rPr>
          <w:rFonts w:ascii="仿宋" w:eastAsia="仿宋" w:hAnsi="仿宋" w:hint="eastAsia"/>
          <w:color w:val="000000"/>
          <w:sz w:val="32"/>
          <w:szCs w:val="32"/>
        </w:rPr>
        <w:t>电力企业应当按照有关规定建立</w:t>
      </w:r>
      <w:r>
        <w:rPr>
          <w:rFonts w:ascii="仿宋" w:eastAsia="仿宋" w:hAnsi="仿宋"/>
          <w:color w:val="000000"/>
          <w:sz w:val="32"/>
          <w:szCs w:val="32"/>
        </w:rPr>
        <w:t>大坝应急</w:t>
      </w:r>
      <w:r>
        <w:rPr>
          <w:rFonts w:ascii="仿宋" w:eastAsia="仿宋" w:hAnsi="仿宋" w:hint="eastAsia"/>
          <w:color w:val="000000"/>
          <w:sz w:val="32"/>
          <w:szCs w:val="32"/>
        </w:rPr>
        <w:t>信息报送工作制度，并明确应急信息报送的责任部门、人员和报送方式。</w:t>
      </w:r>
    </w:p>
    <w:p w14:paraId="69F33CB5" w14:textId="3AC602D3" w:rsidR="00630B50" w:rsidRDefault="00B51774">
      <w:pPr>
        <w:numPr>
          <w:ilvl w:val="0"/>
          <w:numId w:val="2"/>
        </w:numPr>
        <w:tabs>
          <w:tab w:val="left" w:pos="1701"/>
        </w:tabs>
        <w:spacing w:line="588" w:lineRule="exact"/>
        <w:ind w:firstLineChars="200" w:firstLine="643"/>
        <w:rPr>
          <w:rFonts w:ascii="仿宋" w:eastAsia="仿宋" w:hAnsi="仿宋"/>
          <w:color w:val="000000"/>
          <w:sz w:val="32"/>
          <w:szCs w:val="32"/>
        </w:rPr>
      </w:pPr>
      <w:r>
        <w:rPr>
          <w:rFonts w:ascii="仿宋" w:eastAsia="仿宋" w:hAnsi="仿宋" w:hint="eastAsia"/>
          <w:b/>
          <w:color w:val="000000"/>
          <w:kern w:val="0"/>
          <w:sz w:val="32"/>
          <w:szCs w:val="32"/>
        </w:rPr>
        <w:t>【报送时限】</w:t>
      </w:r>
      <w:r>
        <w:rPr>
          <w:rFonts w:ascii="仿宋" w:eastAsia="仿宋" w:hAnsi="仿宋" w:hint="eastAsia"/>
          <w:color w:val="000000"/>
          <w:sz w:val="32"/>
          <w:szCs w:val="32"/>
        </w:rPr>
        <w:t>发生造成较大社会影响的突发事件，电力企业应当在</w:t>
      </w:r>
      <w:r>
        <w:rPr>
          <w:rFonts w:ascii="仿宋" w:eastAsia="仿宋" w:hAnsi="仿宋"/>
          <w:color w:val="000000"/>
          <w:sz w:val="32"/>
          <w:szCs w:val="32"/>
        </w:rPr>
        <w:t>1小时</w:t>
      </w:r>
      <w:r>
        <w:rPr>
          <w:rFonts w:ascii="仿宋" w:eastAsia="仿宋" w:hAnsi="仿宋" w:hint="eastAsia"/>
          <w:color w:val="000000"/>
          <w:sz w:val="32"/>
          <w:szCs w:val="32"/>
        </w:rPr>
        <w:t>内向派出机构、地方电力管理等有关部门和大坝中心报告。报告内容主要包括企业信息、事件经过、损失情况、初判原因及处置恢复情况等。突发事件的后续发展、演变情况应当及时报告。</w:t>
      </w:r>
    </w:p>
    <w:p w14:paraId="70049CF5" w14:textId="07C48535" w:rsidR="00630B50" w:rsidRDefault="00B51774">
      <w:pPr>
        <w:numPr>
          <w:ilvl w:val="0"/>
          <w:numId w:val="2"/>
        </w:numPr>
        <w:tabs>
          <w:tab w:val="left" w:pos="1701"/>
        </w:tabs>
        <w:spacing w:line="588" w:lineRule="exact"/>
        <w:ind w:left="0" w:firstLineChars="200" w:firstLine="643"/>
        <w:rPr>
          <w:rFonts w:ascii="仿宋" w:eastAsia="仿宋" w:hAnsi="仿宋"/>
          <w:bCs/>
          <w:color w:val="000000"/>
          <w:kern w:val="0"/>
          <w:sz w:val="32"/>
          <w:szCs w:val="32"/>
        </w:rPr>
      </w:pPr>
      <w:r>
        <w:rPr>
          <w:rFonts w:ascii="仿宋" w:eastAsia="仿宋" w:hAnsi="仿宋" w:hint="eastAsia"/>
          <w:b/>
          <w:color w:val="000000"/>
          <w:kern w:val="0"/>
          <w:sz w:val="32"/>
          <w:szCs w:val="32"/>
        </w:rPr>
        <w:t>【事后报告】</w:t>
      </w:r>
      <w:r>
        <w:rPr>
          <w:rFonts w:ascii="仿宋" w:eastAsia="仿宋" w:hAnsi="仿宋" w:hint="eastAsia"/>
          <w:color w:val="000000"/>
          <w:sz w:val="32"/>
          <w:szCs w:val="32"/>
        </w:rPr>
        <w:t>造成较大社会影响的突发事件处置评估结束后，电力企业应当将事件总结、处置</w:t>
      </w:r>
      <w:r>
        <w:rPr>
          <w:rFonts w:ascii="仿宋" w:eastAsia="仿宋" w:hAnsi="仿宋"/>
          <w:color w:val="000000"/>
          <w:sz w:val="32"/>
          <w:szCs w:val="32"/>
        </w:rPr>
        <w:t>评估报告</w:t>
      </w:r>
      <w:r>
        <w:rPr>
          <w:rFonts w:ascii="仿宋" w:eastAsia="仿宋" w:hAnsi="仿宋" w:hint="eastAsia"/>
          <w:color w:val="000000"/>
          <w:sz w:val="32"/>
          <w:szCs w:val="32"/>
        </w:rPr>
        <w:t>在</w:t>
      </w:r>
      <w:r>
        <w:rPr>
          <w:rFonts w:ascii="仿宋" w:eastAsia="仿宋" w:hAnsi="仿宋"/>
          <w:color w:val="000000"/>
          <w:sz w:val="32"/>
          <w:szCs w:val="32"/>
        </w:rPr>
        <w:t>30</w:t>
      </w:r>
      <w:r>
        <w:rPr>
          <w:rFonts w:ascii="仿宋" w:eastAsia="仿宋" w:hAnsi="仿宋" w:hint="eastAsia"/>
          <w:color w:val="000000"/>
          <w:sz w:val="32"/>
          <w:szCs w:val="32"/>
        </w:rPr>
        <w:t>个工作日内报送派出机构、地方电力管理等有关部门和大坝中心。</w:t>
      </w:r>
    </w:p>
    <w:p w14:paraId="17C32BEC" w14:textId="77777777" w:rsidR="00630B50" w:rsidRDefault="00B51774">
      <w:pPr>
        <w:keepNext/>
        <w:keepLines/>
        <w:numPr>
          <w:ilvl w:val="0"/>
          <w:numId w:val="1"/>
        </w:numPr>
        <w:spacing w:beforeLines="100" w:before="240" w:afterLines="100" w:after="240" w:line="588" w:lineRule="exact"/>
        <w:ind w:left="1376" w:hangingChars="430" w:hanging="1376"/>
        <w:jc w:val="center"/>
        <w:outlineLvl w:val="0"/>
        <w:rPr>
          <w:rFonts w:ascii="黑体" w:eastAsia="黑体" w:hAnsi="黑体"/>
          <w:bCs/>
          <w:color w:val="000000"/>
          <w:kern w:val="44"/>
          <w:sz w:val="32"/>
          <w:szCs w:val="32"/>
        </w:rPr>
      </w:pPr>
      <w:bookmarkStart w:id="3" w:name="_Toc409450366"/>
      <w:r>
        <w:rPr>
          <w:rFonts w:ascii="黑体" w:eastAsia="黑体" w:hAnsi="黑体" w:hint="eastAsia"/>
          <w:bCs/>
          <w:color w:val="000000"/>
          <w:kern w:val="44"/>
          <w:sz w:val="32"/>
          <w:szCs w:val="32"/>
        </w:rPr>
        <w:t>监督管理</w:t>
      </w:r>
    </w:p>
    <w:p w14:paraId="3578C8A3" w14:textId="4C0D44F2" w:rsidR="00630B50" w:rsidRDefault="00B51774" w:rsidP="00550683">
      <w:pPr>
        <w:numPr>
          <w:ilvl w:val="0"/>
          <w:numId w:val="2"/>
        </w:numPr>
        <w:tabs>
          <w:tab w:val="left" w:pos="1701"/>
        </w:tabs>
        <w:spacing w:line="568" w:lineRule="exact"/>
        <w:ind w:left="0" w:firstLineChars="200" w:firstLine="643"/>
        <w:rPr>
          <w:rFonts w:ascii="黑体" w:eastAsia="黑体" w:hAnsi="仿宋"/>
          <w:b/>
          <w:color w:val="000000"/>
          <w:sz w:val="32"/>
          <w:szCs w:val="24"/>
        </w:rPr>
      </w:pPr>
      <w:r>
        <w:rPr>
          <w:rFonts w:ascii="仿宋" w:eastAsia="仿宋" w:hAnsi="仿宋" w:hint="eastAsia"/>
          <w:b/>
          <w:bCs/>
          <w:color w:val="000000"/>
          <w:kern w:val="0"/>
          <w:sz w:val="32"/>
          <w:szCs w:val="32"/>
        </w:rPr>
        <w:t>【监督管理】</w:t>
      </w:r>
      <w:r>
        <w:rPr>
          <w:rFonts w:ascii="仿宋" w:eastAsia="仿宋" w:hAnsi="仿宋" w:hint="eastAsia"/>
          <w:color w:val="000000"/>
          <w:kern w:val="0"/>
          <w:sz w:val="32"/>
          <w:szCs w:val="32"/>
        </w:rPr>
        <w:t>派出机构、</w:t>
      </w:r>
      <w:r>
        <w:rPr>
          <w:rFonts w:ascii="仿宋" w:eastAsia="仿宋" w:hAnsi="仿宋" w:hint="eastAsia"/>
          <w:color w:val="000000"/>
          <w:sz w:val="32"/>
          <w:szCs w:val="32"/>
        </w:rPr>
        <w:t>地方电力管理等有关部门</w:t>
      </w:r>
      <w:r>
        <w:rPr>
          <w:rFonts w:ascii="仿宋" w:eastAsia="仿宋" w:hAnsi="仿宋" w:hint="eastAsia"/>
          <w:color w:val="000000"/>
          <w:kern w:val="0"/>
          <w:sz w:val="32"/>
          <w:szCs w:val="32"/>
        </w:rPr>
        <w:t>加强</w:t>
      </w:r>
      <w:r>
        <w:rPr>
          <w:rFonts w:ascii="仿宋" w:eastAsia="仿宋" w:hAnsi="仿宋" w:hint="eastAsia"/>
          <w:bCs/>
          <w:color w:val="000000"/>
          <w:kern w:val="0"/>
          <w:sz w:val="32"/>
          <w:szCs w:val="32"/>
        </w:rPr>
        <w:t>电力企业大坝应急管理工作监督检查，对未按法律法规和本办法规定开展相关工作的电力企业，依法依规采取相应的监管措施。大坝中心做好派出机构和地方电力管理等有关部门监督管理的技术支持和服务。</w:t>
      </w:r>
    </w:p>
    <w:p w14:paraId="75B5EF20" w14:textId="77777777" w:rsidR="00630B50" w:rsidRDefault="00B51774" w:rsidP="00550683">
      <w:pPr>
        <w:keepNext/>
        <w:keepLines/>
        <w:numPr>
          <w:ilvl w:val="0"/>
          <w:numId w:val="1"/>
        </w:numPr>
        <w:spacing w:beforeLines="100" w:before="240" w:afterLines="100" w:after="240" w:line="568" w:lineRule="exact"/>
        <w:ind w:left="1376" w:hangingChars="430" w:hanging="1376"/>
        <w:jc w:val="center"/>
        <w:outlineLvl w:val="0"/>
        <w:rPr>
          <w:rFonts w:ascii="黑体" w:eastAsia="黑体" w:hAnsi="黑体"/>
          <w:bCs/>
          <w:color w:val="000000"/>
          <w:kern w:val="44"/>
          <w:sz w:val="32"/>
          <w:szCs w:val="32"/>
        </w:rPr>
      </w:pPr>
      <w:r>
        <w:rPr>
          <w:rFonts w:ascii="黑体" w:eastAsia="黑体" w:hAnsi="黑体" w:hint="eastAsia"/>
          <w:bCs/>
          <w:color w:val="000000"/>
          <w:kern w:val="44"/>
          <w:sz w:val="32"/>
          <w:szCs w:val="32"/>
        </w:rPr>
        <w:lastRenderedPageBreak/>
        <w:t>附则</w:t>
      </w:r>
      <w:bookmarkEnd w:id="3"/>
    </w:p>
    <w:p w14:paraId="5FA39DA0" w14:textId="77777777" w:rsidR="00630B50" w:rsidRDefault="00B51774" w:rsidP="00550683">
      <w:pPr>
        <w:numPr>
          <w:ilvl w:val="0"/>
          <w:numId w:val="2"/>
        </w:numPr>
        <w:tabs>
          <w:tab w:val="left" w:pos="1701"/>
        </w:tabs>
        <w:spacing w:line="568" w:lineRule="exact"/>
        <w:ind w:left="0" w:firstLineChars="200" w:firstLine="643"/>
        <w:rPr>
          <w:rFonts w:ascii="仿宋" w:eastAsia="仿宋" w:hAnsi="仿宋"/>
          <w:color w:val="000000"/>
          <w:sz w:val="32"/>
          <w:szCs w:val="32"/>
        </w:rPr>
      </w:pPr>
      <w:r>
        <w:rPr>
          <w:rFonts w:ascii="仿宋" w:eastAsia="仿宋" w:hAnsi="仿宋" w:hint="eastAsia"/>
          <w:b/>
          <w:color w:val="000000"/>
          <w:kern w:val="0"/>
          <w:sz w:val="32"/>
          <w:szCs w:val="32"/>
        </w:rPr>
        <w:t>【名词术语】</w:t>
      </w:r>
      <w:r>
        <w:rPr>
          <w:rFonts w:ascii="仿宋" w:eastAsia="仿宋" w:hAnsi="仿宋" w:hint="eastAsia"/>
          <w:color w:val="000000"/>
          <w:sz w:val="32"/>
          <w:szCs w:val="32"/>
        </w:rPr>
        <w:t xml:space="preserve"> 水电站大坝运行安全</w:t>
      </w:r>
      <w:r>
        <w:rPr>
          <w:rFonts w:ascii="仿宋" w:eastAsia="仿宋" w:hAnsi="仿宋"/>
          <w:color w:val="000000"/>
          <w:sz w:val="32"/>
          <w:szCs w:val="32"/>
        </w:rPr>
        <w:t>突发事件，是指突然发生</w:t>
      </w:r>
      <w:r>
        <w:rPr>
          <w:rFonts w:ascii="仿宋" w:eastAsia="仿宋" w:hAnsi="仿宋" w:hint="eastAsia"/>
          <w:color w:val="000000"/>
          <w:sz w:val="32"/>
          <w:szCs w:val="32"/>
        </w:rPr>
        <w:t>，造成或者可能造成大坝破坏、上下游人民群众生命财产损失和严重环境危害</w:t>
      </w:r>
      <w:r>
        <w:rPr>
          <w:rFonts w:ascii="仿宋" w:eastAsia="仿宋" w:hAnsi="仿宋"/>
          <w:color w:val="000000"/>
          <w:sz w:val="32"/>
          <w:szCs w:val="32"/>
        </w:rPr>
        <w:t>，需要采取应急处置措施予以应对的</w:t>
      </w:r>
      <w:r>
        <w:rPr>
          <w:rFonts w:ascii="仿宋" w:eastAsia="仿宋" w:hAnsi="仿宋" w:hint="eastAsia"/>
          <w:color w:val="000000"/>
          <w:sz w:val="32"/>
          <w:szCs w:val="32"/>
        </w:rPr>
        <w:t>紧急</w:t>
      </w:r>
      <w:r>
        <w:rPr>
          <w:rFonts w:ascii="仿宋" w:eastAsia="仿宋" w:hAnsi="仿宋"/>
          <w:color w:val="000000"/>
          <w:sz w:val="32"/>
          <w:szCs w:val="32"/>
        </w:rPr>
        <w:t>事件</w:t>
      </w:r>
      <w:r>
        <w:rPr>
          <w:rFonts w:ascii="仿宋" w:eastAsia="仿宋" w:hAnsi="仿宋" w:hint="eastAsia"/>
          <w:color w:val="000000"/>
          <w:sz w:val="32"/>
          <w:szCs w:val="32"/>
        </w:rPr>
        <w:t>，主要包括以下几类：</w:t>
      </w:r>
    </w:p>
    <w:p w14:paraId="22E2FED5"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bookmarkStart w:id="4" w:name="_Hlk67218895"/>
      <w:r>
        <w:rPr>
          <w:rFonts w:ascii="Times New Roman" w:eastAsia="仿宋" w:hAnsi="Times New Roman" w:hint="eastAsia"/>
          <w:color w:val="000000"/>
          <w:sz w:val="32"/>
          <w:szCs w:val="32"/>
        </w:rPr>
        <w:t>（一）自然灾害类</w:t>
      </w:r>
    </w:p>
    <w:p w14:paraId="795706F2"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1. </w:t>
      </w:r>
      <w:r>
        <w:rPr>
          <w:rFonts w:ascii="Times New Roman" w:eastAsia="仿宋" w:hAnsi="Times New Roman"/>
          <w:color w:val="000000"/>
          <w:sz w:val="32"/>
          <w:szCs w:val="32"/>
        </w:rPr>
        <w:t>暴雨、洪水、台风、凌汛、地震、地质灾害</w:t>
      </w:r>
      <w:r>
        <w:rPr>
          <w:rFonts w:ascii="Times New Roman" w:eastAsia="仿宋" w:hAnsi="Times New Roman" w:hint="eastAsia"/>
          <w:color w:val="000000"/>
          <w:sz w:val="32"/>
          <w:szCs w:val="32"/>
        </w:rPr>
        <w:t>、冰川活动</w:t>
      </w:r>
      <w:r>
        <w:rPr>
          <w:rFonts w:ascii="Times New Roman" w:eastAsia="仿宋" w:hAnsi="Times New Roman"/>
          <w:color w:val="000000"/>
          <w:sz w:val="32"/>
          <w:szCs w:val="32"/>
        </w:rPr>
        <w:t>等</w:t>
      </w:r>
      <w:r>
        <w:rPr>
          <w:rFonts w:ascii="Times New Roman" w:eastAsia="仿宋" w:hAnsi="Times New Roman" w:hint="eastAsia"/>
          <w:color w:val="000000"/>
          <w:sz w:val="32"/>
          <w:szCs w:val="32"/>
        </w:rPr>
        <w:t>。</w:t>
      </w:r>
    </w:p>
    <w:p w14:paraId="1AB25C64"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hint="eastAsia"/>
          <w:color w:val="000000"/>
          <w:sz w:val="32"/>
          <w:szCs w:val="32"/>
        </w:rPr>
        <w:t>（二）事故灾难类</w:t>
      </w:r>
    </w:p>
    <w:p w14:paraId="478F2026"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2. </w:t>
      </w:r>
      <w:r>
        <w:rPr>
          <w:rFonts w:ascii="Times New Roman" w:eastAsia="仿宋" w:hAnsi="Times New Roman" w:hint="eastAsia"/>
          <w:color w:val="000000"/>
          <w:sz w:val="32"/>
          <w:szCs w:val="32"/>
        </w:rPr>
        <w:t>漫坝、溃坝；</w:t>
      </w:r>
    </w:p>
    <w:p w14:paraId="58D13801"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 xml:space="preserve"> </w:t>
      </w:r>
      <w:r>
        <w:rPr>
          <w:rFonts w:ascii="Times New Roman" w:eastAsia="仿宋" w:hAnsi="Times New Roman"/>
          <w:color w:val="000000"/>
          <w:sz w:val="32"/>
          <w:szCs w:val="32"/>
        </w:rPr>
        <w:t>上游</w:t>
      </w:r>
      <w:r>
        <w:rPr>
          <w:rFonts w:ascii="Times New Roman" w:eastAsia="仿宋" w:hAnsi="Times New Roman" w:hint="eastAsia"/>
          <w:color w:val="000000"/>
          <w:sz w:val="32"/>
          <w:szCs w:val="32"/>
        </w:rPr>
        <w:t>水库（水电站）大坝</w:t>
      </w:r>
      <w:r>
        <w:rPr>
          <w:rFonts w:ascii="Times New Roman" w:eastAsia="仿宋" w:hAnsi="Times New Roman"/>
          <w:color w:val="000000"/>
          <w:sz w:val="32"/>
          <w:szCs w:val="32"/>
        </w:rPr>
        <w:t>溃坝或非正常泄水；</w:t>
      </w:r>
    </w:p>
    <w:p w14:paraId="6D5E7546" w14:textId="77777777" w:rsidR="00630B50" w:rsidRDefault="00B51774" w:rsidP="00550683">
      <w:pPr>
        <w:tabs>
          <w:tab w:val="left" w:pos="1701"/>
        </w:tabs>
        <w:spacing w:line="568" w:lineRule="exact"/>
        <w:ind w:firstLineChars="200" w:firstLine="640"/>
        <w:rPr>
          <w:rFonts w:ascii="Times New Roman" w:eastAsia="仿宋" w:hAnsi="Times New Roman"/>
          <w:color w:val="000000"/>
          <w:spacing w:val="-4"/>
          <w:sz w:val="32"/>
          <w:szCs w:val="32"/>
        </w:rPr>
      </w:pPr>
      <w:r>
        <w:rPr>
          <w:rFonts w:ascii="Times New Roman" w:eastAsia="仿宋" w:hAnsi="Times New Roman"/>
          <w:color w:val="000000"/>
          <w:sz w:val="32"/>
          <w:szCs w:val="32"/>
        </w:rPr>
        <w:t xml:space="preserve">4. </w:t>
      </w:r>
      <w:r>
        <w:rPr>
          <w:rFonts w:ascii="Times New Roman" w:eastAsia="仿宋" w:hAnsi="Times New Roman"/>
          <w:color w:val="000000"/>
          <w:spacing w:val="-4"/>
          <w:sz w:val="32"/>
          <w:szCs w:val="32"/>
        </w:rPr>
        <w:t>水库大体积漂浮物</w:t>
      </w:r>
      <w:r>
        <w:rPr>
          <w:rFonts w:ascii="Times New Roman" w:eastAsia="仿宋" w:hAnsi="Times New Roman" w:hint="eastAsia"/>
          <w:color w:val="000000"/>
          <w:spacing w:val="-4"/>
          <w:sz w:val="32"/>
          <w:szCs w:val="32"/>
        </w:rPr>
        <w:t>、</w:t>
      </w:r>
      <w:r>
        <w:rPr>
          <w:rFonts w:ascii="Times New Roman" w:eastAsia="仿宋" w:hAnsi="Times New Roman"/>
          <w:color w:val="000000"/>
          <w:spacing w:val="-4"/>
          <w:sz w:val="32"/>
          <w:szCs w:val="32"/>
        </w:rPr>
        <w:t>失控船舶等撞击大坝或堵塞泄洪设施；</w:t>
      </w:r>
    </w:p>
    <w:p w14:paraId="5BC5E262"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5. </w:t>
      </w:r>
      <w:r>
        <w:rPr>
          <w:rFonts w:ascii="Times New Roman" w:eastAsia="仿宋" w:hAnsi="Times New Roman"/>
          <w:color w:val="000000"/>
          <w:sz w:val="32"/>
          <w:szCs w:val="32"/>
        </w:rPr>
        <w:t>大坝结构</w:t>
      </w:r>
      <w:r>
        <w:rPr>
          <w:rFonts w:ascii="Times New Roman" w:eastAsia="仿宋" w:hAnsi="Times New Roman" w:hint="eastAsia"/>
          <w:color w:val="000000"/>
          <w:sz w:val="32"/>
          <w:szCs w:val="32"/>
        </w:rPr>
        <w:t>破坏</w:t>
      </w:r>
      <w:r>
        <w:rPr>
          <w:rFonts w:ascii="Times New Roman" w:eastAsia="仿宋" w:hAnsi="Times New Roman"/>
          <w:color w:val="000000"/>
          <w:sz w:val="32"/>
          <w:szCs w:val="32"/>
        </w:rPr>
        <w:t>或</w:t>
      </w:r>
      <w:r>
        <w:rPr>
          <w:rFonts w:ascii="Times New Roman" w:eastAsia="仿宋" w:hAnsi="Times New Roman" w:hint="eastAsia"/>
          <w:color w:val="000000"/>
          <w:sz w:val="32"/>
          <w:szCs w:val="32"/>
        </w:rPr>
        <w:t>坝体、</w:t>
      </w:r>
      <w:r>
        <w:rPr>
          <w:rFonts w:ascii="Times New Roman" w:eastAsia="仿宋" w:hAnsi="Times New Roman"/>
          <w:color w:val="000000"/>
          <w:sz w:val="32"/>
          <w:szCs w:val="32"/>
        </w:rPr>
        <w:t>坝基、坝肩</w:t>
      </w:r>
      <w:r>
        <w:rPr>
          <w:rFonts w:ascii="Times New Roman" w:eastAsia="仿宋" w:hAnsi="Times New Roman" w:hint="eastAsia"/>
          <w:color w:val="000000"/>
          <w:sz w:val="32"/>
          <w:szCs w:val="32"/>
        </w:rPr>
        <w:t>的</w:t>
      </w:r>
      <w:r>
        <w:rPr>
          <w:rFonts w:ascii="Times New Roman" w:eastAsia="仿宋" w:hAnsi="Times New Roman"/>
          <w:color w:val="000000"/>
          <w:sz w:val="32"/>
          <w:szCs w:val="32"/>
        </w:rPr>
        <w:t>缺陷隐患突然恶化；</w:t>
      </w:r>
    </w:p>
    <w:p w14:paraId="518AAF6E"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6. </w:t>
      </w:r>
      <w:r>
        <w:rPr>
          <w:rFonts w:ascii="Times New Roman" w:eastAsia="仿宋" w:hAnsi="Times New Roman"/>
          <w:color w:val="000000"/>
          <w:sz w:val="32"/>
          <w:szCs w:val="32"/>
        </w:rPr>
        <w:t>泄洪设施和相关设备不能正常运用；</w:t>
      </w:r>
    </w:p>
    <w:p w14:paraId="5078E308"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7. </w:t>
      </w:r>
      <w:r>
        <w:rPr>
          <w:rFonts w:ascii="Times New Roman" w:eastAsia="仿宋" w:hAnsi="Times New Roman" w:hint="eastAsia"/>
          <w:color w:val="000000"/>
          <w:sz w:val="32"/>
          <w:szCs w:val="32"/>
        </w:rPr>
        <w:t>工程</w:t>
      </w:r>
      <w:proofErr w:type="gramStart"/>
      <w:r>
        <w:rPr>
          <w:rFonts w:ascii="Times New Roman" w:eastAsia="仿宋" w:hAnsi="Times New Roman" w:hint="eastAsia"/>
          <w:color w:val="000000"/>
          <w:sz w:val="32"/>
          <w:szCs w:val="32"/>
        </w:rPr>
        <w:t>边坡或库岸</w:t>
      </w:r>
      <w:proofErr w:type="gramEnd"/>
      <w:r>
        <w:rPr>
          <w:rFonts w:ascii="Times New Roman" w:eastAsia="仿宋" w:hAnsi="Times New Roman" w:hint="eastAsia"/>
          <w:color w:val="000000"/>
          <w:sz w:val="32"/>
          <w:szCs w:val="32"/>
        </w:rPr>
        <w:t>失稳；</w:t>
      </w:r>
    </w:p>
    <w:p w14:paraId="48AA7C1A"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8. </w:t>
      </w:r>
      <w:r>
        <w:rPr>
          <w:rFonts w:ascii="Times New Roman" w:eastAsia="仿宋" w:hAnsi="Times New Roman"/>
          <w:color w:val="000000"/>
          <w:sz w:val="32"/>
          <w:szCs w:val="32"/>
        </w:rPr>
        <w:t>因水库调度不当</w:t>
      </w:r>
      <w:r>
        <w:rPr>
          <w:rFonts w:ascii="Times New Roman" w:eastAsia="仿宋" w:hAnsi="Times New Roman" w:hint="eastAsia"/>
          <w:color w:val="000000"/>
          <w:sz w:val="32"/>
          <w:szCs w:val="32"/>
        </w:rPr>
        <w:t>或</w:t>
      </w:r>
      <w:r>
        <w:rPr>
          <w:rFonts w:ascii="Times New Roman" w:eastAsia="仿宋" w:hAnsi="Times New Roman"/>
          <w:color w:val="000000"/>
          <w:sz w:val="32"/>
          <w:szCs w:val="32"/>
        </w:rPr>
        <w:t>水电站运行、维护不当导致的安全事故</w:t>
      </w:r>
      <w:r>
        <w:rPr>
          <w:rFonts w:ascii="Times New Roman" w:eastAsia="仿宋" w:hAnsi="Times New Roman" w:hint="eastAsia"/>
          <w:color w:val="000000"/>
          <w:sz w:val="32"/>
          <w:szCs w:val="32"/>
        </w:rPr>
        <w:t>。</w:t>
      </w:r>
    </w:p>
    <w:p w14:paraId="4F67D540" w14:textId="77777777" w:rsidR="00630B50" w:rsidRDefault="00B51774" w:rsidP="00550683">
      <w:pPr>
        <w:tabs>
          <w:tab w:val="left" w:pos="1701"/>
        </w:tabs>
        <w:spacing w:line="568" w:lineRule="exact"/>
        <w:ind w:firstLineChars="200" w:firstLine="640"/>
        <w:rPr>
          <w:rFonts w:ascii="Times New Roman" w:eastAsia="仿宋" w:hAnsi="Times New Roman"/>
          <w:b/>
          <w:bCs/>
          <w:color w:val="000000"/>
          <w:sz w:val="32"/>
          <w:szCs w:val="32"/>
        </w:rPr>
      </w:pPr>
      <w:r>
        <w:rPr>
          <w:rFonts w:ascii="Times New Roman" w:eastAsia="仿宋" w:hAnsi="Times New Roman" w:hint="eastAsia"/>
          <w:color w:val="000000"/>
          <w:sz w:val="32"/>
          <w:szCs w:val="32"/>
        </w:rPr>
        <w:t>（三）社会安全类</w:t>
      </w:r>
    </w:p>
    <w:p w14:paraId="5D6CCFFD"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 xml:space="preserve">9. </w:t>
      </w:r>
      <w:r>
        <w:rPr>
          <w:rFonts w:ascii="Times New Roman" w:eastAsia="仿宋" w:hAnsi="Times New Roman" w:hint="eastAsia"/>
          <w:color w:val="000000"/>
          <w:sz w:val="32"/>
          <w:szCs w:val="32"/>
        </w:rPr>
        <w:t>战争、恐怖袭击、人为破坏等。</w:t>
      </w:r>
    </w:p>
    <w:p w14:paraId="327411A6" w14:textId="77777777" w:rsidR="00630B50" w:rsidRDefault="00B51774" w:rsidP="00550683">
      <w:pPr>
        <w:tabs>
          <w:tab w:val="left" w:pos="1701"/>
        </w:tabs>
        <w:spacing w:line="568" w:lineRule="exact"/>
        <w:ind w:firstLineChars="200" w:firstLine="640"/>
        <w:rPr>
          <w:rFonts w:ascii="Times New Roman" w:eastAsia="仿宋" w:hAnsi="Times New Roman"/>
          <w:color w:val="000000"/>
          <w:sz w:val="32"/>
          <w:szCs w:val="32"/>
        </w:rPr>
      </w:pPr>
      <w:r>
        <w:rPr>
          <w:rFonts w:ascii="Times New Roman" w:eastAsia="仿宋" w:hAnsi="Times New Roman" w:hint="eastAsia"/>
          <w:color w:val="000000"/>
          <w:sz w:val="32"/>
          <w:szCs w:val="32"/>
        </w:rPr>
        <w:t>（四）其他</w:t>
      </w:r>
    </w:p>
    <w:p w14:paraId="29D5E6FF" w14:textId="77777777" w:rsidR="00630B50" w:rsidRDefault="00B51774" w:rsidP="00550683">
      <w:pPr>
        <w:tabs>
          <w:tab w:val="left" w:pos="1701"/>
        </w:tabs>
        <w:spacing w:line="568" w:lineRule="exact"/>
        <w:ind w:firstLineChars="200" w:firstLine="640"/>
        <w:rPr>
          <w:rFonts w:ascii="仿宋" w:eastAsia="仿宋" w:hAnsi="仿宋"/>
          <w:color w:val="000000"/>
          <w:sz w:val="32"/>
          <w:szCs w:val="32"/>
        </w:rPr>
      </w:pPr>
      <w:r>
        <w:rPr>
          <w:rFonts w:ascii="Times New Roman" w:eastAsia="仿宋" w:hAnsi="Times New Roman"/>
          <w:color w:val="000000"/>
          <w:sz w:val="32"/>
          <w:szCs w:val="32"/>
        </w:rPr>
        <w:t xml:space="preserve">10. </w:t>
      </w:r>
      <w:r>
        <w:rPr>
          <w:rFonts w:ascii="Times New Roman" w:eastAsia="仿宋" w:hAnsi="Times New Roman"/>
          <w:color w:val="000000"/>
          <w:sz w:val="32"/>
          <w:szCs w:val="32"/>
        </w:rPr>
        <w:t>其他突发事件。</w:t>
      </w:r>
      <w:bookmarkEnd w:id="4"/>
    </w:p>
    <w:p w14:paraId="6B7B8624" w14:textId="341ACF0F" w:rsidR="00630B50" w:rsidRDefault="00B51774" w:rsidP="00550683">
      <w:pPr>
        <w:numPr>
          <w:ilvl w:val="0"/>
          <w:numId w:val="2"/>
        </w:numPr>
        <w:tabs>
          <w:tab w:val="left" w:pos="1701"/>
        </w:tabs>
        <w:spacing w:line="568" w:lineRule="exact"/>
        <w:ind w:firstLineChars="200" w:firstLine="643"/>
        <w:jc w:val="left"/>
        <w:rPr>
          <w:rFonts w:ascii="Times New Roman" w:eastAsia="仿宋" w:hAnsi="Times New Roman"/>
          <w:sz w:val="28"/>
          <w:szCs w:val="28"/>
        </w:rPr>
      </w:pPr>
      <w:r>
        <w:rPr>
          <w:rFonts w:ascii="仿宋" w:eastAsia="仿宋" w:hAnsi="仿宋" w:hint="eastAsia"/>
          <w:b/>
          <w:color w:val="000000"/>
          <w:sz w:val="32"/>
          <w:szCs w:val="32"/>
        </w:rPr>
        <w:t>【实施日期】</w:t>
      </w:r>
      <w:r>
        <w:rPr>
          <w:rFonts w:ascii="仿宋" w:eastAsia="仿宋" w:hAnsi="仿宋" w:hint="eastAsia"/>
          <w:color w:val="000000"/>
          <w:sz w:val="32"/>
          <w:szCs w:val="32"/>
        </w:rPr>
        <w:t>本办法自发布之日起实施。</w:t>
      </w:r>
      <w:bookmarkEnd w:id="0"/>
    </w:p>
    <w:sectPr w:rsidR="00630B50">
      <w:headerReference w:type="even" r:id="rId9"/>
      <w:headerReference w:type="default" r:id="rId10"/>
      <w:footerReference w:type="even" r:id="rId11"/>
      <w:footerReference w:type="default" r:id="rId12"/>
      <w:headerReference w:type="first" r:id="rId13"/>
      <w:footerReference w:type="first" r:id="rId14"/>
      <w:pgSz w:w="11906" w:h="16838"/>
      <w:pgMar w:top="1928" w:right="1418" w:bottom="1871" w:left="1474" w:header="851" w:footer="1247"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C9D1" w14:textId="77777777" w:rsidR="001614EB" w:rsidRDefault="001614EB">
      <w:pPr>
        <w:spacing w:line="240" w:lineRule="auto"/>
      </w:pPr>
      <w:r>
        <w:separator/>
      </w:r>
    </w:p>
  </w:endnote>
  <w:endnote w:type="continuationSeparator" w:id="0">
    <w:p w14:paraId="3F6087FD" w14:textId="77777777" w:rsidR="001614EB" w:rsidRDefault="0016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68E" w14:textId="77777777" w:rsidR="00630B50" w:rsidRDefault="00B51774">
    <w:pPr>
      <w:pStyle w:val="aa"/>
      <w:spacing w:before="120" w:after="120"/>
      <w:ind w:firstLine="284"/>
    </w:pPr>
    <w:r>
      <w:rPr>
        <w:noProof/>
      </w:rPr>
      <mc:AlternateContent>
        <mc:Choice Requires="wps">
          <w:drawing>
            <wp:anchor distT="0" distB="0" distL="114300" distR="114300" simplePos="0" relativeHeight="251660288" behindDoc="0" locked="0" layoutInCell="1" allowOverlap="1" wp14:anchorId="3724E249" wp14:editId="1D09D2AE">
              <wp:simplePos x="0" y="0"/>
              <wp:positionH relativeFrom="margin">
                <wp:posOffset>2724150</wp:posOffset>
              </wp:positionH>
              <wp:positionV relativeFrom="paragraph">
                <wp:posOffset>0</wp:posOffset>
              </wp:positionV>
              <wp:extent cx="351790" cy="4781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51790" cy="478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65129A" w14:textId="6FFB9D76" w:rsidR="00630B50" w:rsidRDefault="001614EB">
                          <w:pPr>
                            <w:pStyle w:val="aa"/>
                            <w:spacing w:before="120" w:after="120"/>
                            <w:ind w:firstLine="284"/>
                          </w:pPr>
                          <w:sdt>
                            <w:sdtPr>
                              <w:rPr>
                                <w:rFonts w:ascii="Times New Roman" w:hAnsi="Times New Roman" w:cs="Times New Roman"/>
                                <w:sz w:val="28"/>
                                <w:szCs w:val="28"/>
                              </w:rPr>
                              <w:id w:val="-189529902"/>
                            </w:sdtPr>
                            <w:sdtEndPr>
                              <w:rPr>
                                <w:rFonts w:asciiTheme="minorHAnsi" w:hAnsiTheme="minorHAnsi" w:cstheme="minorBidi"/>
                              </w:rPr>
                            </w:sdtEndPr>
                            <w:sdtContent>
                              <w:r w:rsidR="00B51774">
                                <w:rPr>
                                  <w:rFonts w:ascii="Times New Roman" w:hAnsi="Times New Roman" w:cs="Times New Roman"/>
                                  <w:sz w:val="28"/>
                                  <w:szCs w:val="28"/>
                                </w:rPr>
                                <w:fldChar w:fldCharType="begin"/>
                              </w:r>
                              <w:r w:rsidR="00B51774">
                                <w:rPr>
                                  <w:rFonts w:ascii="Times New Roman" w:hAnsi="Times New Roman" w:cs="Times New Roman"/>
                                  <w:sz w:val="28"/>
                                  <w:szCs w:val="28"/>
                                </w:rPr>
                                <w:instrText>PAGE   \* MERGEFORMAT</w:instrText>
                              </w:r>
                              <w:r w:rsidR="00B51774">
                                <w:rPr>
                                  <w:rFonts w:ascii="Times New Roman" w:hAnsi="Times New Roman" w:cs="Times New Roman"/>
                                  <w:sz w:val="28"/>
                                  <w:szCs w:val="28"/>
                                </w:rPr>
                                <w:fldChar w:fldCharType="separate"/>
                              </w:r>
                              <w:r w:rsidR="00B51774">
                                <w:rPr>
                                  <w:rFonts w:ascii="Times New Roman" w:hAnsi="Times New Roman" w:cs="Times New Roman"/>
                                  <w:sz w:val="28"/>
                                  <w:szCs w:val="28"/>
                                  <w:lang w:val="zh-CN"/>
                                </w:rPr>
                                <w:t>10</w:t>
                              </w:r>
                              <w:r w:rsidR="00B51774">
                                <w:rPr>
                                  <w:rFonts w:ascii="Times New Roman" w:hAnsi="Times New Roman" w:cs="Times New Roman"/>
                                  <w:sz w:val="28"/>
                                  <w:szCs w:val="28"/>
                                </w:rPr>
                                <w:fldChar w:fldCharType="end"/>
                              </w:r>
                            </w:sdtContent>
                          </w:sd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724E249" id="_x0000_t202" coordsize="21600,21600" o:spt="202" path="m,l,21600r21600,l21600,xe">
              <v:stroke joinstyle="miter"/>
              <v:path gradientshapeok="t" o:connecttype="rect"/>
            </v:shapetype>
            <v:shape id="文本框 2" o:spid="_x0000_s1026" type="#_x0000_t202" style="position:absolute;left:0;text-align:left;margin-left:214.5pt;margin-top:0;width:27.7pt;height:37.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" filled="f" stroked="f" strokeweight=".5pt">
              <v:textbox inset="0,0,0,0">
                <w:txbxContent>
                  <w:p w14:paraId="0B65129A" w14:textId="6FFB9D76" w:rsidR="00630B50" w:rsidRDefault="00B51774">
                    <w:pPr>
                      <w:pStyle w:val="aa"/>
                      <w:spacing w:before="120" w:after="120"/>
                      <w:ind w:firstLine="284"/>
                    </w:pPr>
                    <w:sdt>
                      <w:sdtPr>
                        <w:rPr>
                          <w:rFonts w:ascii="Times New Roman" w:hAnsi="Times New Roman" w:cs="Times New Roman"/>
                          <w:sz w:val="28"/>
                          <w:szCs w:val="28"/>
                        </w:rPr>
                        <w:id w:val="-189529902"/>
                      </w:sdtPr>
                      <w:sdtEndPr>
                        <w:rPr>
                          <w:rFonts w:asciiTheme="minorHAnsi" w:hAnsiTheme="minorHAnsi" w:cstheme="minorBidi"/>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sdtContent>
                    </w:sdt>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48F2" w14:textId="77777777" w:rsidR="00630B50" w:rsidRDefault="00B51774">
    <w:pPr>
      <w:pStyle w:val="aa"/>
      <w:wordWrap w:val="0"/>
      <w:spacing w:before="120" w:after="120"/>
      <w:ind w:right="41"/>
      <w:jc w:val="right"/>
    </w:pPr>
    <w:r>
      <w:rPr>
        <w:noProof/>
      </w:rPr>
      <mc:AlternateContent>
        <mc:Choice Requires="wps">
          <w:drawing>
            <wp:anchor distT="0" distB="0" distL="114300" distR="114300" simplePos="0" relativeHeight="251659264" behindDoc="0" locked="0" layoutInCell="1" allowOverlap="1" wp14:anchorId="1CE40D9E" wp14:editId="73EB26E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4DAB81" w14:textId="1136D34F" w:rsidR="00630B50" w:rsidRDefault="00B51774">
                          <w:pPr>
                            <w:pStyle w:val="aa"/>
                            <w:wordWrap w:val="0"/>
                            <w:spacing w:before="120" w:after="120"/>
                            <w:ind w:right="41"/>
                            <w:jc w:val="right"/>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ascii="仿宋" w:eastAsia="仿宋" w:hAnsi="仿宋" w:cs="Times New Roman" w:hint="eastAsia"/>
                              <w:sz w:val="28"/>
                              <w:szCs w:val="28"/>
                            </w:rPr>
                            <w:t xml:space="preserve"> </w:t>
                          </w:r>
                          <w:r>
                            <w:rPr>
                              <w:rFonts w:ascii="仿宋" w:eastAsia="仿宋" w:hAnsi="仿宋"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E40D9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274DAB81" w14:textId="1136D34F" w:rsidR="00630B50" w:rsidRDefault="00B51774">
                    <w:pPr>
                      <w:pStyle w:val="aa"/>
                      <w:wordWrap w:val="0"/>
                      <w:spacing w:before="120" w:after="120"/>
                      <w:ind w:right="41"/>
                      <w:jc w:val="right"/>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r>
                      <w:rPr>
                        <w:rFonts w:ascii="仿宋" w:eastAsia="仿宋" w:hAnsi="仿宋" w:cs="Times New Roman" w:hint="eastAsia"/>
                        <w:sz w:val="28"/>
                        <w:szCs w:val="28"/>
                      </w:rPr>
                      <w:t xml:space="preserve"> </w:t>
                    </w:r>
                    <w:r>
                      <w:rPr>
                        <w:rFonts w:ascii="仿宋" w:eastAsia="仿宋" w:hAnsi="仿宋"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28E" w14:textId="77777777" w:rsidR="00630B50" w:rsidRDefault="00B51774">
    <w:pPr>
      <w:pStyle w:val="aa"/>
    </w:pPr>
    <w:r>
      <w:rPr>
        <w:noProof/>
      </w:rPr>
      <mc:AlternateContent>
        <mc:Choice Requires="wps">
          <w:drawing>
            <wp:anchor distT="0" distB="0" distL="114300" distR="114300" simplePos="0" relativeHeight="251661312" behindDoc="0" locked="0" layoutInCell="1" allowOverlap="1" wp14:anchorId="1F40A18C" wp14:editId="0D8236B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9B7750" w14:textId="77777777" w:rsidR="00630B50" w:rsidRDefault="00B51774">
                          <w:pPr>
                            <w:pStyle w:val="aa"/>
                          </w:pPr>
                          <w:r w:rsidRPr="00221E10">
                            <w:rPr>
                              <w:rFonts w:ascii="Times New Roman" w:hAnsi="Times New Roman" w:cs="Times New Roman"/>
                              <w:sz w:val="28"/>
                              <w:szCs w:val="28"/>
                            </w:rPr>
                            <w:fldChar w:fldCharType="begin"/>
                          </w:r>
                          <w:r w:rsidRPr="00221E10">
                            <w:rPr>
                              <w:rFonts w:ascii="Times New Roman" w:hAnsi="Times New Roman" w:cs="Times New Roman"/>
                              <w:sz w:val="28"/>
                              <w:szCs w:val="28"/>
                            </w:rPr>
                            <w:instrText xml:space="preserve"> PAGE  \* MERGEFORMAT </w:instrText>
                          </w:r>
                          <w:r w:rsidRPr="00221E10">
                            <w:rPr>
                              <w:rFonts w:ascii="Times New Roman" w:hAnsi="Times New Roman" w:cs="Times New Roman"/>
                              <w:sz w:val="28"/>
                              <w:szCs w:val="28"/>
                            </w:rPr>
                            <w:fldChar w:fldCharType="separate"/>
                          </w:r>
                          <w:r w:rsidRPr="00221E10">
                            <w:rPr>
                              <w:rFonts w:ascii="Times New Roman" w:hAnsi="Times New Roman" w:cs="Times New Roman"/>
                              <w:sz w:val="28"/>
                              <w:szCs w:val="28"/>
                            </w:rPr>
                            <w:t>1</w:t>
                          </w:r>
                          <w:r w:rsidRPr="00221E10">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40A18C"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14:paraId="059B7750" w14:textId="77777777" w:rsidR="00630B50" w:rsidRDefault="00B51774">
                    <w:pPr>
                      <w:pStyle w:val="aa"/>
                    </w:pPr>
                    <w:r w:rsidRPr="00221E10">
                      <w:rPr>
                        <w:rFonts w:ascii="Times New Roman" w:hAnsi="Times New Roman" w:cs="Times New Roman"/>
                        <w:sz w:val="28"/>
                        <w:szCs w:val="28"/>
                      </w:rPr>
                      <w:fldChar w:fldCharType="begin"/>
                    </w:r>
                    <w:r w:rsidRPr="00221E10">
                      <w:rPr>
                        <w:rFonts w:ascii="Times New Roman" w:hAnsi="Times New Roman" w:cs="Times New Roman"/>
                        <w:sz w:val="28"/>
                        <w:szCs w:val="28"/>
                      </w:rPr>
                      <w:instrText xml:space="preserve"> PAGE  \* MERGEFORMAT </w:instrText>
                    </w:r>
                    <w:r w:rsidRPr="00221E10">
                      <w:rPr>
                        <w:rFonts w:ascii="Times New Roman" w:hAnsi="Times New Roman" w:cs="Times New Roman"/>
                        <w:sz w:val="28"/>
                        <w:szCs w:val="28"/>
                      </w:rPr>
                      <w:fldChar w:fldCharType="separate"/>
                    </w:r>
                    <w:r w:rsidRPr="00221E10">
                      <w:rPr>
                        <w:rFonts w:ascii="Times New Roman" w:hAnsi="Times New Roman" w:cs="Times New Roman"/>
                        <w:sz w:val="28"/>
                        <w:szCs w:val="28"/>
                      </w:rPr>
                      <w:t>1</w:t>
                    </w:r>
                    <w:r w:rsidRPr="00221E10">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E65C" w14:textId="77777777" w:rsidR="001614EB" w:rsidRDefault="001614EB">
      <w:r>
        <w:separator/>
      </w:r>
    </w:p>
  </w:footnote>
  <w:footnote w:type="continuationSeparator" w:id="0">
    <w:p w14:paraId="37983C19" w14:textId="77777777" w:rsidR="001614EB" w:rsidRDefault="0016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7E94" w14:textId="77777777" w:rsidR="00630B50" w:rsidRDefault="00630B50">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C7B" w14:textId="77777777" w:rsidR="00630B50" w:rsidRDefault="00630B50">
    <w:pPr>
      <w:pStyle w:val="a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83EE" w14:textId="77777777" w:rsidR="00630B50" w:rsidRDefault="00630B50">
    <w:pPr>
      <w:pStyle w:val="ac"/>
      <w:widowControl w:val="0"/>
      <w:pBdr>
        <w:bottom w:val="none" w:sz="0" w:space="0" w:color="auto"/>
      </w:pBdr>
      <w:spacing w:line="240" w:lineRule="auto"/>
      <w:ind w:firstLine="0"/>
      <w:rPr>
        <w:rFonts w:ascii="Times New Roman" w:eastAsia="方正小标宋简体" w:hAnsi="Times New Roman"/>
        <w:color w:val="FF0000"/>
        <w:sz w:val="58"/>
        <w:szCs w:val="5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02152"/>
    <w:multiLevelType w:val="multilevel"/>
    <w:tmpl w:val="3C902152"/>
    <w:lvl w:ilvl="0">
      <w:start w:val="1"/>
      <w:numFmt w:val="japaneseCounting"/>
      <w:lvlText w:val="第%1章"/>
      <w:lvlJc w:val="left"/>
      <w:pPr>
        <w:ind w:left="5437" w:hanging="900"/>
      </w:pPr>
      <w:rPr>
        <w:rFonts w:hint="default"/>
        <w:lang w:val="en-US"/>
      </w:rPr>
    </w:lvl>
    <w:lvl w:ilvl="1">
      <w:start w:val="1"/>
      <w:numFmt w:val="lowerLetter"/>
      <w:lvlText w:val="%2)"/>
      <w:lvlJc w:val="left"/>
      <w:pPr>
        <w:ind w:left="5377" w:hanging="420"/>
      </w:pPr>
    </w:lvl>
    <w:lvl w:ilvl="2">
      <w:start w:val="1"/>
      <w:numFmt w:val="lowerRoman"/>
      <w:lvlText w:val="%3."/>
      <w:lvlJc w:val="right"/>
      <w:pPr>
        <w:ind w:left="5797" w:hanging="420"/>
      </w:pPr>
    </w:lvl>
    <w:lvl w:ilvl="3">
      <w:start w:val="1"/>
      <w:numFmt w:val="decimal"/>
      <w:lvlText w:val="%4."/>
      <w:lvlJc w:val="left"/>
      <w:pPr>
        <w:ind w:left="6217" w:hanging="420"/>
      </w:pPr>
    </w:lvl>
    <w:lvl w:ilvl="4">
      <w:start w:val="1"/>
      <w:numFmt w:val="lowerLetter"/>
      <w:lvlText w:val="%5)"/>
      <w:lvlJc w:val="left"/>
      <w:pPr>
        <w:ind w:left="6637" w:hanging="420"/>
      </w:pPr>
    </w:lvl>
    <w:lvl w:ilvl="5">
      <w:start w:val="1"/>
      <w:numFmt w:val="lowerRoman"/>
      <w:lvlText w:val="%6."/>
      <w:lvlJc w:val="right"/>
      <w:pPr>
        <w:ind w:left="7057" w:hanging="420"/>
      </w:pPr>
    </w:lvl>
    <w:lvl w:ilvl="6">
      <w:start w:val="1"/>
      <w:numFmt w:val="decimal"/>
      <w:lvlText w:val="%7."/>
      <w:lvlJc w:val="left"/>
      <w:pPr>
        <w:ind w:left="7477" w:hanging="420"/>
      </w:pPr>
    </w:lvl>
    <w:lvl w:ilvl="7">
      <w:start w:val="1"/>
      <w:numFmt w:val="lowerLetter"/>
      <w:lvlText w:val="%8)"/>
      <w:lvlJc w:val="left"/>
      <w:pPr>
        <w:ind w:left="7897" w:hanging="420"/>
      </w:pPr>
    </w:lvl>
    <w:lvl w:ilvl="8">
      <w:start w:val="1"/>
      <w:numFmt w:val="lowerRoman"/>
      <w:lvlText w:val="%9."/>
      <w:lvlJc w:val="right"/>
      <w:pPr>
        <w:ind w:left="8317" w:hanging="420"/>
      </w:pPr>
    </w:lvl>
  </w:abstractNum>
  <w:abstractNum w:abstractNumId="1" w15:restartNumberingAfterBreak="0">
    <w:nsid w:val="5BCE2C8D"/>
    <w:multiLevelType w:val="multilevel"/>
    <w:tmpl w:val="5BCE2C8D"/>
    <w:lvl w:ilvl="0">
      <w:start w:val="1"/>
      <w:numFmt w:val="japaneseCounting"/>
      <w:lvlText w:val="第%1条"/>
      <w:lvlJc w:val="left"/>
      <w:pPr>
        <w:ind w:left="148" w:firstLine="420"/>
      </w:pPr>
      <w:rPr>
        <w:rFonts w:ascii="黑体" w:eastAsia="黑体" w:hint="default"/>
        <w:b w:val="0"/>
        <w:i w:val="0"/>
        <w:color w:val="auto"/>
        <w:sz w:val="32"/>
        <w:lang w:val="en-US"/>
      </w:rPr>
    </w:lvl>
    <w:lvl w:ilvl="1">
      <w:start w:val="1"/>
      <w:numFmt w:val="lowerLetter"/>
      <w:lvlText w:val="%2)"/>
      <w:lvlJc w:val="left"/>
      <w:pPr>
        <w:ind w:left="1117" w:hanging="420"/>
      </w:pPr>
    </w:lvl>
    <w:lvl w:ilvl="2">
      <w:start w:val="1"/>
      <w:numFmt w:val="lowerRoman"/>
      <w:lvlText w:val="%3."/>
      <w:lvlJc w:val="right"/>
      <w:pPr>
        <w:ind w:left="1537" w:hanging="420"/>
      </w:pPr>
    </w:lvl>
    <w:lvl w:ilvl="3">
      <w:start w:val="1"/>
      <w:numFmt w:val="decimal"/>
      <w:lvlText w:val="%4."/>
      <w:lvlJc w:val="left"/>
      <w:pPr>
        <w:ind w:left="1957" w:hanging="420"/>
      </w:pPr>
    </w:lvl>
    <w:lvl w:ilvl="4">
      <w:start w:val="1"/>
      <w:numFmt w:val="lowerLetter"/>
      <w:lvlText w:val="%5)"/>
      <w:lvlJc w:val="left"/>
      <w:pPr>
        <w:ind w:left="2377" w:hanging="420"/>
      </w:pPr>
    </w:lvl>
    <w:lvl w:ilvl="5">
      <w:start w:val="1"/>
      <w:numFmt w:val="lowerRoman"/>
      <w:lvlText w:val="%6."/>
      <w:lvlJc w:val="right"/>
      <w:pPr>
        <w:ind w:left="2797" w:hanging="420"/>
      </w:pPr>
    </w:lvl>
    <w:lvl w:ilvl="6">
      <w:start w:val="1"/>
      <w:numFmt w:val="decimal"/>
      <w:lvlText w:val="%7."/>
      <w:lvlJc w:val="left"/>
      <w:pPr>
        <w:ind w:left="3217" w:hanging="420"/>
      </w:pPr>
    </w:lvl>
    <w:lvl w:ilvl="7">
      <w:start w:val="1"/>
      <w:numFmt w:val="lowerLetter"/>
      <w:lvlText w:val="%8)"/>
      <w:lvlJc w:val="left"/>
      <w:pPr>
        <w:ind w:left="3637" w:hanging="420"/>
      </w:pPr>
    </w:lvl>
    <w:lvl w:ilvl="8">
      <w:start w:val="1"/>
      <w:numFmt w:val="lowerRoman"/>
      <w:lvlText w:val="%9."/>
      <w:lvlJc w:val="right"/>
      <w:pPr>
        <w:ind w:left="405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2C"/>
    <w:rsid w:val="000013A5"/>
    <w:rsid w:val="000020D5"/>
    <w:rsid w:val="00005A78"/>
    <w:rsid w:val="00011C0B"/>
    <w:rsid w:val="00021A55"/>
    <w:rsid w:val="00030EB4"/>
    <w:rsid w:val="00040296"/>
    <w:rsid w:val="0004607F"/>
    <w:rsid w:val="0005285E"/>
    <w:rsid w:val="000553A0"/>
    <w:rsid w:val="000634E6"/>
    <w:rsid w:val="00063A99"/>
    <w:rsid w:val="000839B1"/>
    <w:rsid w:val="00085C0E"/>
    <w:rsid w:val="000933C0"/>
    <w:rsid w:val="00093D5D"/>
    <w:rsid w:val="000967A3"/>
    <w:rsid w:val="000E2698"/>
    <w:rsid w:val="000E40C2"/>
    <w:rsid w:val="0012545B"/>
    <w:rsid w:val="00135FBD"/>
    <w:rsid w:val="00137B7D"/>
    <w:rsid w:val="00137DF2"/>
    <w:rsid w:val="00143270"/>
    <w:rsid w:val="0014523E"/>
    <w:rsid w:val="00155979"/>
    <w:rsid w:val="001614EB"/>
    <w:rsid w:val="00170AFA"/>
    <w:rsid w:val="00181210"/>
    <w:rsid w:val="00192201"/>
    <w:rsid w:val="001923A1"/>
    <w:rsid w:val="0019526C"/>
    <w:rsid w:val="001B1AC7"/>
    <w:rsid w:val="001B69AB"/>
    <w:rsid w:val="001C0DA2"/>
    <w:rsid w:val="001C1A93"/>
    <w:rsid w:val="001D17E3"/>
    <w:rsid w:val="001D430B"/>
    <w:rsid w:val="001E0B7F"/>
    <w:rsid w:val="001E2BCD"/>
    <w:rsid w:val="001E4E4D"/>
    <w:rsid w:val="00203098"/>
    <w:rsid w:val="00203ED1"/>
    <w:rsid w:val="00207993"/>
    <w:rsid w:val="00221E10"/>
    <w:rsid w:val="00242515"/>
    <w:rsid w:val="00254165"/>
    <w:rsid w:val="00255CC8"/>
    <w:rsid w:val="0028121A"/>
    <w:rsid w:val="002851CA"/>
    <w:rsid w:val="00295CB9"/>
    <w:rsid w:val="002B1C1A"/>
    <w:rsid w:val="002C60B9"/>
    <w:rsid w:val="002E0965"/>
    <w:rsid w:val="002F39B0"/>
    <w:rsid w:val="003021F4"/>
    <w:rsid w:val="003072DB"/>
    <w:rsid w:val="00310CE8"/>
    <w:rsid w:val="00313716"/>
    <w:rsid w:val="00337F9A"/>
    <w:rsid w:val="00340B3A"/>
    <w:rsid w:val="003420E3"/>
    <w:rsid w:val="0037602F"/>
    <w:rsid w:val="0038200A"/>
    <w:rsid w:val="0038553C"/>
    <w:rsid w:val="0039202C"/>
    <w:rsid w:val="003A3909"/>
    <w:rsid w:val="003C4808"/>
    <w:rsid w:val="003D2460"/>
    <w:rsid w:val="003D278A"/>
    <w:rsid w:val="003E1970"/>
    <w:rsid w:val="003F1A05"/>
    <w:rsid w:val="004014ED"/>
    <w:rsid w:val="00402996"/>
    <w:rsid w:val="00414651"/>
    <w:rsid w:val="00416531"/>
    <w:rsid w:val="00416CA6"/>
    <w:rsid w:val="004219F1"/>
    <w:rsid w:val="0043059A"/>
    <w:rsid w:val="00441108"/>
    <w:rsid w:val="00441F7D"/>
    <w:rsid w:val="00443394"/>
    <w:rsid w:val="00444686"/>
    <w:rsid w:val="00452BD5"/>
    <w:rsid w:val="00453702"/>
    <w:rsid w:val="0045469D"/>
    <w:rsid w:val="00460980"/>
    <w:rsid w:val="0047017D"/>
    <w:rsid w:val="00481899"/>
    <w:rsid w:val="004823DA"/>
    <w:rsid w:val="004958B9"/>
    <w:rsid w:val="004B0382"/>
    <w:rsid w:val="004B0D63"/>
    <w:rsid w:val="004C4C17"/>
    <w:rsid w:val="004D4745"/>
    <w:rsid w:val="004E2B44"/>
    <w:rsid w:val="004E7FF1"/>
    <w:rsid w:val="004F4ED2"/>
    <w:rsid w:val="00500AB8"/>
    <w:rsid w:val="00503563"/>
    <w:rsid w:val="0050510A"/>
    <w:rsid w:val="00505C0A"/>
    <w:rsid w:val="00505C31"/>
    <w:rsid w:val="0051461F"/>
    <w:rsid w:val="00517329"/>
    <w:rsid w:val="0053071E"/>
    <w:rsid w:val="0053381D"/>
    <w:rsid w:val="00537277"/>
    <w:rsid w:val="0054035C"/>
    <w:rsid w:val="005428B0"/>
    <w:rsid w:val="00550683"/>
    <w:rsid w:val="00562983"/>
    <w:rsid w:val="005670B1"/>
    <w:rsid w:val="005728A8"/>
    <w:rsid w:val="00573DC0"/>
    <w:rsid w:val="00576BC1"/>
    <w:rsid w:val="00583C9A"/>
    <w:rsid w:val="00583E49"/>
    <w:rsid w:val="00590524"/>
    <w:rsid w:val="005950FC"/>
    <w:rsid w:val="00595C2B"/>
    <w:rsid w:val="005B5017"/>
    <w:rsid w:val="005C23EA"/>
    <w:rsid w:val="005C3F56"/>
    <w:rsid w:val="005C5089"/>
    <w:rsid w:val="005C64DD"/>
    <w:rsid w:val="005D5A71"/>
    <w:rsid w:val="005E0170"/>
    <w:rsid w:val="005E4ACE"/>
    <w:rsid w:val="00604C92"/>
    <w:rsid w:val="00605C0A"/>
    <w:rsid w:val="006123E8"/>
    <w:rsid w:val="00620178"/>
    <w:rsid w:val="0062696A"/>
    <w:rsid w:val="00630B50"/>
    <w:rsid w:val="0063638C"/>
    <w:rsid w:val="00642D3D"/>
    <w:rsid w:val="006452C5"/>
    <w:rsid w:val="0065203A"/>
    <w:rsid w:val="00661819"/>
    <w:rsid w:val="00690F05"/>
    <w:rsid w:val="006915F6"/>
    <w:rsid w:val="006A0FC9"/>
    <w:rsid w:val="006A2082"/>
    <w:rsid w:val="006B2B8F"/>
    <w:rsid w:val="006B2F38"/>
    <w:rsid w:val="006B5179"/>
    <w:rsid w:val="006C3E1E"/>
    <w:rsid w:val="006D2C9F"/>
    <w:rsid w:val="006D5B00"/>
    <w:rsid w:val="00703653"/>
    <w:rsid w:val="00712A46"/>
    <w:rsid w:val="00720333"/>
    <w:rsid w:val="00720F18"/>
    <w:rsid w:val="00724EFA"/>
    <w:rsid w:val="007252EC"/>
    <w:rsid w:val="0072795F"/>
    <w:rsid w:val="00727FEB"/>
    <w:rsid w:val="00730996"/>
    <w:rsid w:val="00747510"/>
    <w:rsid w:val="00751848"/>
    <w:rsid w:val="00757CBB"/>
    <w:rsid w:val="007611C7"/>
    <w:rsid w:val="00761776"/>
    <w:rsid w:val="007855BA"/>
    <w:rsid w:val="007940D1"/>
    <w:rsid w:val="0079558E"/>
    <w:rsid w:val="0079766E"/>
    <w:rsid w:val="007A5931"/>
    <w:rsid w:val="007A7B36"/>
    <w:rsid w:val="007B1CEE"/>
    <w:rsid w:val="007B2195"/>
    <w:rsid w:val="007B25AF"/>
    <w:rsid w:val="007B3B24"/>
    <w:rsid w:val="007C416C"/>
    <w:rsid w:val="007C76C8"/>
    <w:rsid w:val="007D0B5D"/>
    <w:rsid w:val="007D3454"/>
    <w:rsid w:val="007E0F10"/>
    <w:rsid w:val="007E0FCE"/>
    <w:rsid w:val="00814366"/>
    <w:rsid w:val="00821903"/>
    <w:rsid w:val="00826922"/>
    <w:rsid w:val="008326B7"/>
    <w:rsid w:val="00833B45"/>
    <w:rsid w:val="00843EC9"/>
    <w:rsid w:val="00853365"/>
    <w:rsid w:val="00872714"/>
    <w:rsid w:val="0087366C"/>
    <w:rsid w:val="0088061C"/>
    <w:rsid w:val="00882174"/>
    <w:rsid w:val="00885203"/>
    <w:rsid w:val="00885D56"/>
    <w:rsid w:val="00886151"/>
    <w:rsid w:val="008865ED"/>
    <w:rsid w:val="00890583"/>
    <w:rsid w:val="00895FAB"/>
    <w:rsid w:val="008A78C1"/>
    <w:rsid w:val="008A795B"/>
    <w:rsid w:val="008B73CE"/>
    <w:rsid w:val="008B7679"/>
    <w:rsid w:val="008C0550"/>
    <w:rsid w:val="008D5DC8"/>
    <w:rsid w:val="008E122F"/>
    <w:rsid w:val="008F2A04"/>
    <w:rsid w:val="008F6164"/>
    <w:rsid w:val="00902E0A"/>
    <w:rsid w:val="00904D86"/>
    <w:rsid w:val="00911837"/>
    <w:rsid w:val="00930D6B"/>
    <w:rsid w:val="009449DF"/>
    <w:rsid w:val="00946AFC"/>
    <w:rsid w:val="00974A45"/>
    <w:rsid w:val="00982F45"/>
    <w:rsid w:val="009841A8"/>
    <w:rsid w:val="009B2479"/>
    <w:rsid w:val="009C1B02"/>
    <w:rsid w:val="009D2CD0"/>
    <w:rsid w:val="009E1E9E"/>
    <w:rsid w:val="009E62BD"/>
    <w:rsid w:val="009F4B2C"/>
    <w:rsid w:val="00A007AE"/>
    <w:rsid w:val="00A00B10"/>
    <w:rsid w:val="00A02B48"/>
    <w:rsid w:val="00A04C87"/>
    <w:rsid w:val="00A10A49"/>
    <w:rsid w:val="00A14A9C"/>
    <w:rsid w:val="00A200F0"/>
    <w:rsid w:val="00A2134F"/>
    <w:rsid w:val="00A23643"/>
    <w:rsid w:val="00A27D00"/>
    <w:rsid w:val="00A40336"/>
    <w:rsid w:val="00A55280"/>
    <w:rsid w:val="00A55DDA"/>
    <w:rsid w:val="00A60804"/>
    <w:rsid w:val="00A65207"/>
    <w:rsid w:val="00A70060"/>
    <w:rsid w:val="00A71757"/>
    <w:rsid w:val="00A7226C"/>
    <w:rsid w:val="00A736D2"/>
    <w:rsid w:val="00A8692C"/>
    <w:rsid w:val="00A92CEF"/>
    <w:rsid w:val="00A94F38"/>
    <w:rsid w:val="00AA03A5"/>
    <w:rsid w:val="00AB7DE5"/>
    <w:rsid w:val="00AD3B7B"/>
    <w:rsid w:val="00AD6C5F"/>
    <w:rsid w:val="00AE0282"/>
    <w:rsid w:val="00AE2FA0"/>
    <w:rsid w:val="00B04288"/>
    <w:rsid w:val="00B06BCE"/>
    <w:rsid w:val="00B15FA1"/>
    <w:rsid w:val="00B1600A"/>
    <w:rsid w:val="00B275A7"/>
    <w:rsid w:val="00B27783"/>
    <w:rsid w:val="00B33B36"/>
    <w:rsid w:val="00B3579E"/>
    <w:rsid w:val="00B36361"/>
    <w:rsid w:val="00B40B0F"/>
    <w:rsid w:val="00B4183F"/>
    <w:rsid w:val="00B5118E"/>
    <w:rsid w:val="00B51774"/>
    <w:rsid w:val="00B55345"/>
    <w:rsid w:val="00B61E90"/>
    <w:rsid w:val="00B656C6"/>
    <w:rsid w:val="00B67290"/>
    <w:rsid w:val="00B73C9B"/>
    <w:rsid w:val="00B76262"/>
    <w:rsid w:val="00B770DD"/>
    <w:rsid w:val="00B847E4"/>
    <w:rsid w:val="00B858F9"/>
    <w:rsid w:val="00B963D6"/>
    <w:rsid w:val="00BA1A5A"/>
    <w:rsid w:val="00BB23E7"/>
    <w:rsid w:val="00BB5E96"/>
    <w:rsid w:val="00BC20CA"/>
    <w:rsid w:val="00BC37F6"/>
    <w:rsid w:val="00BD1F3D"/>
    <w:rsid w:val="00BE3C4A"/>
    <w:rsid w:val="00BF7712"/>
    <w:rsid w:val="00C07334"/>
    <w:rsid w:val="00C1025A"/>
    <w:rsid w:val="00C23026"/>
    <w:rsid w:val="00C464DF"/>
    <w:rsid w:val="00C54808"/>
    <w:rsid w:val="00C73A7D"/>
    <w:rsid w:val="00C75B25"/>
    <w:rsid w:val="00C76907"/>
    <w:rsid w:val="00C777A7"/>
    <w:rsid w:val="00C95093"/>
    <w:rsid w:val="00CA4F3C"/>
    <w:rsid w:val="00CA6C50"/>
    <w:rsid w:val="00CC112C"/>
    <w:rsid w:val="00CC3B6B"/>
    <w:rsid w:val="00CC4D65"/>
    <w:rsid w:val="00CE4550"/>
    <w:rsid w:val="00CE686D"/>
    <w:rsid w:val="00CF47FD"/>
    <w:rsid w:val="00CF515A"/>
    <w:rsid w:val="00D03222"/>
    <w:rsid w:val="00D06CA2"/>
    <w:rsid w:val="00D06EBF"/>
    <w:rsid w:val="00D074DE"/>
    <w:rsid w:val="00D11BAD"/>
    <w:rsid w:val="00D11CF7"/>
    <w:rsid w:val="00D13DFC"/>
    <w:rsid w:val="00D16F3C"/>
    <w:rsid w:val="00D24DE2"/>
    <w:rsid w:val="00D27DD3"/>
    <w:rsid w:val="00D31A81"/>
    <w:rsid w:val="00D32366"/>
    <w:rsid w:val="00D42685"/>
    <w:rsid w:val="00D46F54"/>
    <w:rsid w:val="00D6203D"/>
    <w:rsid w:val="00D65172"/>
    <w:rsid w:val="00D71837"/>
    <w:rsid w:val="00D75800"/>
    <w:rsid w:val="00D77241"/>
    <w:rsid w:val="00D81F99"/>
    <w:rsid w:val="00D84F10"/>
    <w:rsid w:val="00D85644"/>
    <w:rsid w:val="00D86580"/>
    <w:rsid w:val="00D90F0F"/>
    <w:rsid w:val="00D963C2"/>
    <w:rsid w:val="00D96FFD"/>
    <w:rsid w:val="00DA37BB"/>
    <w:rsid w:val="00DA44ED"/>
    <w:rsid w:val="00DB61A5"/>
    <w:rsid w:val="00DC7F55"/>
    <w:rsid w:val="00DD3F09"/>
    <w:rsid w:val="00DD7B83"/>
    <w:rsid w:val="00DE267A"/>
    <w:rsid w:val="00DE4ACC"/>
    <w:rsid w:val="00DF7C67"/>
    <w:rsid w:val="00E04C97"/>
    <w:rsid w:val="00E04CFA"/>
    <w:rsid w:val="00E2072F"/>
    <w:rsid w:val="00E33333"/>
    <w:rsid w:val="00E40158"/>
    <w:rsid w:val="00E46C01"/>
    <w:rsid w:val="00E53131"/>
    <w:rsid w:val="00E64296"/>
    <w:rsid w:val="00E75C06"/>
    <w:rsid w:val="00E84609"/>
    <w:rsid w:val="00E84C44"/>
    <w:rsid w:val="00E85A14"/>
    <w:rsid w:val="00E95353"/>
    <w:rsid w:val="00EA014C"/>
    <w:rsid w:val="00EB42B7"/>
    <w:rsid w:val="00EB54C1"/>
    <w:rsid w:val="00EC1B1F"/>
    <w:rsid w:val="00EE008B"/>
    <w:rsid w:val="00EE3DF2"/>
    <w:rsid w:val="00EF755F"/>
    <w:rsid w:val="00F13076"/>
    <w:rsid w:val="00F36B50"/>
    <w:rsid w:val="00F5016F"/>
    <w:rsid w:val="00F54D60"/>
    <w:rsid w:val="00F6111B"/>
    <w:rsid w:val="00F67AD0"/>
    <w:rsid w:val="00F75C2B"/>
    <w:rsid w:val="00F86962"/>
    <w:rsid w:val="00FA182E"/>
    <w:rsid w:val="00FA2769"/>
    <w:rsid w:val="00FB286E"/>
    <w:rsid w:val="00FC3C31"/>
    <w:rsid w:val="00FC4DC7"/>
    <w:rsid w:val="00FD3205"/>
    <w:rsid w:val="00FD55EE"/>
    <w:rsid w:val="00FD5C8D"/>
    <w:rsid w:val="00FD72FE"/>
    <w:rsid w:val="00FE6EC9"/>
    <w:rsid w:val="00FF1237"/>
    <w:rsid w:val="00FF32DE"/>
    <w:rsid w:val="00FF6B9B"/>
    <w:rsid w:val="02895B83"/>
    <w:rsid w:val="03EB2B19"/>
    <w:rsid w:val="03F7256C"/>
    <w:rsid w:val="073C036C"/>
    <w:rsid w:val="0A5C4C10"/>
    <w:rsid w:val="0EFA5E4F"/>
    <w:rsid w:val="12013D56"/>
    <w:rsid w:val="1A7A759A"/>
    <w:rsid w:val="1D9C5C3A"/>
    <w:rsid w:val="243E7E76"/>
    <w:rsid w:val="2C5E0FD8"/>
    <w:rsid w:val="333161FE"/>
    <w:rsid w:val="33D15194"/>
    <w:rsid w:val="3AF612DD"/>
    <w:rsid w:val="3BD47604"/>
    <w:rsid w:val="465C3BCC"/>
    <w:rsid w:val="74443221"/>
    <w:rsid w:val="75E904E9"/>
    <w:rsid w:val="7B337D4B"/>
    <w:rsid w:val="7C99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CE92A"/>
  <w15:docId w15:val="{E59CF940-3771-453F-BD5E-2AE03136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709"/>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lock Text"/>
    <w:basedOn w:val="a"/>
    <w:qFormat/>
    <w:pPr>
      <w:spacing w:before="100" w:beforeAutospacing="1" w:after="100" w:afterAutospacing="1"/>
      <w:ind w:left="360" w:right="188"/>
    </w:pPr>
    <w:rPr>
      <w:rFonts w:ascii="Times New Roman" w:hAnsi="Times New Roman"/>
      <w:b/>
      <w:color w:val="FF0000"/>
      <w:szCs w:val="24"/>
    </w:rPr>
  </w:style>
  <w:style w:type="paragraph" w:styleId="a6">
    <w:name w:val="Date"/>
    <w:basedOn w:val="a"/>
    <w:next w:val="a"/>
    <w:link w:val="a7"/>
    <w:qFormat/>
    <w:pPr>
      <w:ind w:firstLine="567"/>
    </w:pPr>
    <w:rPr>
      <w:rFonts w:ascii="仿宋_GB2312" w:eastAsia="仿宋_GB2312" w:hAnsi="Times New Roman"/>
      <w:sz w:val="28"/>
      <w:szCs w:val="20"/>
      <w:lang w:val="zh-CN"/>
    </w:rPr>
  </w:style>
  <w:style w:type="paragraph" w:styleId="2">
    <w:name w:val="Body Text Indent 2"/>
    <w:basedOn w:val="a"/>
    <w:link w:val="20"/>
    <w:uiPriority w:val="99"/>
    <w:semiHidden/>
    <w:unhideWhenUsed/>
    <w:qFormat/>
    <w:pPr>
      <w:spacing w:after="120" w:line="480" w:lineRule="auto"/>
      <w:ind w:leftChars="200" w:left="420"/>
    </w:pPr>
    <w:rPr>
      <w:lang w:val="zh-CN"/>
    </w:rPr>
  </w:style>
  <w:style w:type="paragraph" w:styleId="a8">
    <w:name w:val="Balloon Text"/>
    <w:basedOn w:val="a"/>
    <w:link w:val="a9"/>
    <w:uiPriority w:val="99"/>
    <w:semiHidden/>
    <w:unhideWhenUsed/>
    <w:qFormat/>
    <w:pPr>
      <w:spacing w:line="240" w:lineRule="auto"/>
    </w:pPr>
    <w:rPr>
      <w:sz w:val="18"/>
      <w:szCs w:val="18"/>
    </w:rPr>
  </w:style>
  <w:style w:type="paragraph" w:styleId="aa">
    <w:name w:val="footer"/>
    <w:basedOn w:val="a"/>
    <w:link w:val="ab"/>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日期 字符"/>
    <w:basedOn w:val="a0"/>
    <w:link w:val="a6"/>
    <w:qFormat/>
    <w:rPr>
      <w:rFonts w:ascii="仿宋_GB2312" w:eastAsia="仿宋_GB2312" w:hAnsi="Times New Roman" w:cs="Times New Roman"/>
      <w:sz w:val="28"/>
      <w:szCs w:val="20"/>
      <w:lang w:val="zh-CN" w:eastAsia="zh-CN"/>
    </w:rPr>
  </w:style>
  <w:style w:type="paragraph" w:customStyle="1" w:styleId="Default">
    <w:name w:val="Default"/>
    <w:qFormat/>
    <w:pPr>
      <w:widowControl w:val="0"/>
      <w:autoSpaceDE w:val="0"/>
      <w:autoSpaceDN w:val="0"/>
      <w:adjustRightInd w:val="0"/>
      <w:spacing w:line="360" w:lineRule="auto"/>
      <w:ind w:firstLine="709"/>
      <w:jc w:val="both"/>
    </w:pPr>
    <w:rPr>
      <w:rFonts w:ascii="仿宋" w:eastAsia="仿宋" w:hAnsi="Times New Roman" w:cs="仿宋"/>
      <w:color w:val="000000"/>
      <w:sz w:val="24"/>
      <w:szCs w:val="24"/>
    </w:rPr>
  </w:style>
  <w:style w:type="character" w:customStyle="1" w:styleId="10">
    <w:name w:val="标题 1 字符"/>
    <w:basedOn w:val="a0"/>
    <w:link w:val="1"/>
    <w:qFormat/>
    <w:rPr>
      <w:rFonts w:ascii="Calibri" w:eastAsia="宋体" w:hAnsi="Calibri" w:cs="Times New Roman"/>
      <w:b/>
      <w:bCs/>
      <w:kern w:val="44"/>
      <w:sz w:val="44"/>
      <w:szCs w:val="44"/>
      <w:lang w:val="zh-CN" w:eastAsia="zh-CN"/>
    </w:rPr>
  </w:style>
  <w:style w:type="character" w:customStyle="1" w:styleId="20">
    <w:name w:val="正文文本缩进 2 字符"/>
    <w:basedOn w:val="a0"/>
    <w:link w:val="2"/>
    <w:uiPriority w:val="99"/>
    <w:semiHidden/>
    <w:qFormat/>
    <w:rPr>
      <w:rFonts w:ascii="Calibri" w:eastAsia="宋体" w:hAnsi="Calibri" w:cs="Times New Roman"/>
      <w:lang w:val="zh-CN" w:eastAsia="zh-CN"/>
    </w:rPr>
  </w:style>
  <w:style w:type="paragraph" w:customStyle="1" w:styleId="af3">
    <w:name w:val="四级标题"/>
    <w:basedOn w:val="a"/>
    <w:qFormat/>
    <w:rPr>
      <w:rFonts w:ascii="仿宋_GB2312" w:eastAsia="仿宋_GB2312" w:hAnsi="Times New Roman"/>
      <w:sz w:val="28"/>
      <w:szCs w:val="20"/>
    </w:rPr>
  </w:style>
  <w:style w:type="character" w:customStyle="1" w:styleId="a9">
    <w:name w:val="批注框文本 字符"/>
    <w:basedOn w:val="a0"/>
    <w:link w:val="a8"/>
    <w:uiPriority w:val="99"/>
    <w:semiHidden/>
    <w:qFormat/>
    <w:rPr>
      <w:rFonts w:ascii="Calibri" w:eastAsia="宋体" w:hAnsi="Calibri" w:cs="Times New Roman"/>
      <w:sz w:val="18"/>
      <w:szCs w:val="18"/>
    </w:rPr>
  </w:style>
  <w:style w:type="paragraph" w:customStyle="1" w:styleId="11">
    <w:name w:val="修订1"/>
    <w:hidden/>
    <w:uiPriority w:val="99"/>
    <w:semiHidden/>
    <w:qFormat/>
    <w:rPr>
      <w:rFonts w:ascii="Calibri" w:eastAsia="宋体" w:hAnsi="Calibri" w:cs="Times New Roman"/>
      <w:kern w:val="2"/>
      <w:sz w:val="21"/>
      <w:szCs w:val="22"/>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f">
    <w:name w:val="批注主题 字符"/>
    <w:basedOn w:val="a4"/>
    <w:link w:val="ae"/>
    <w:uiPriority w:val="99"/>
    <w:semiHidden/>
    <w:qFormat/>
    <w:rPr>
      <w:rFonts w:ascii="Calibri" w:eastAsia="宋体" w:hAnsi="Calibri" w:cs="Times New Roman"/>
      <w:b/>
      <w:bCs/>
    </w:rPr>
  </w:style>
  <w:style w:type="paragraph" w:styleId="af4">
    <w:name w:val="List Paragraph"/>
    <w:basedOn w:val="a"/>
    <w:uiPriority w:val="34"/>
    <w:qFormat/>
    <w:pPr>
      <w:ind w:firstLineChars="200" w:firstLine="420"/>
    </w:pPr>
  </w:style>
  <w:style w:type="paragraph" w:styleId="af5">
    <w:name w:val="Revision"/>
    <w:hidden/>
    <w:uiPriority w:val="99"/>
    <w:semiHidden/>
    <w:rsid w:val="00550683"/>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70F3CBF-BFA3-4341-8DD5-4AF4F55656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592</Words>
  <Characters>3380</Characters>
  <Application>Microsoft Office Word</Application>
  <DocSecurity>0</DocSecurity>
  <Lines>28</Lines>
  <Paragraphs>7</Paragraphs>
  <ScaleCrop>false</ScaleCrop>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杜雪珍</dc:creator>
  <cp:lastModifiedBy>薛晓斌</cp:lastModifiedBy>
  <cp:revision>13</cp:revision>
  <cp:lastPrinted>2021-10-12T03:19:00Z</cp:lastPrinted>
  <dcterms:created xsi:type="dcterms:W3CDTF">2021-08-30T03:53:00Z</dcterms:created>
  <dcterms:modified xsi:type="dcterms:W3CDTF">2021-11-05T08:16:00Z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292B546940924CBD845B221145871896</vt:lpwstr>
  </property>
</Properties>
</file>