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Times New Roman" w:eastAsia="方正小标宋_GBK"/>
          <w:kern w:val="0"/>
          <w:sz w:val="36"/>
          <w:szCs w:val="36"/>
        </w:rPr>
      </w:pPr>
      <w:r>
        <w:rPr>
          <w:rFonts w:hint="eastAsia" w:ascii="方正小标宋_GBK" w:hAnsi="Times New Roman" w:eastAsia="方正小标宋_GBK"/>
          <w:kern w:val="0"/>
          <w:sz w:val="36"/>
          <w:szCs w:val="36"/>
        </w:rPr>
        <w:t>20</w:t>
      </w:r>
      <w:r>
        <w:rPr>
          <w:rFonts w:ascii="方正小标宋_GBK" w:hAnsi="Times New Roman" w:eastAsia="方正小标宋_GBK"/>
          <w:kern w:val="0"/>
          <w:sz w:val="36"/>
          <w:szCs w:val="36"/>
        </w:rPr>
        <w:t>21</w:t>
      </w:r>
      <w:r>
        <w:rPr>
          <w:rFonts w:hint="eastAsia" w:ascii="方正小标宋_GBK" w:hAnsi="Times New Roman" w:eastAsia="方正小标宋_GBK"/>
          <w:kern w:val="0"/>
          <w:sz w:val="36"/>
          <w:szCs w:val="36"/>
        </w:rPr>
        <w:t>年度全国可再生能源电力发展监测评价报告</w:t>
      </w:r>
    </w:p>
    <w:p>
      <w:pPr>
        <w:spacing w:line="294" w:lineRule="exact"/>
        <w:jc w:val="center"/>
        <w:rPr>
          <w:rFonts w:ascii="Times New Roman" w:hAnsi="Times New Roman" w:eastAsia="楷体_GB2312"/>
          <w:color w:val="FF0000"/>
          <w:spacing w:val="-20"/>
          <w:sz w:val="24"/>
          <w:szCs w:val="24"/>
        </w:rPr>
      </w:pPr>
    </w:p>
    <w:p>
      <w:pPr>
        <w:pStyle w:val="2"/>
        <w:ind w:firstLine="600"/>
      </w:pPr>
      <w:r>
        <w:t>一、全国可再生能源电力发展总体情况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截至2021年底，全国可再生能源发电累计装机容量10.63亿千瓦，同比增长约13.8%，占全部电力装机的44.8%；</w:t>
      </w:r>
      <w:r>
        <w:rPr>
          <w:rFonts w:hint="eastAsia" w:ascii="Times New Roman" w:hAnsi="Times New Roman" w:eastAsia="方正仿宋_GBK"/>
          <w:sz w:val="30"/>
          <w:szCs w:val="30"/>
        </w:rPr>
        <w:t>其中，水电装机3.91亿千瓦（抽水蓄能0.36亿千瓦）、风电装机3.28亿千瓦、光伏发电装机3.06亿千瓦、生物质发电装机3798万千瓦</w:t>
      </w:r>
      <w:r>
        <w:rPr>
          <w:rFonts w:ascii="Times New Roman" w:hAnsi="Times New Roman" w:eastAsia="方正仿宋_GBK"/>
          <w:sz w:val="30"/>
          <w:szCs w:val="30"/>
        </w:rPr>
        <w:t>。2021年，全国可再生能源发电量达2.4</w:t>
      </w:r>
      <w:r>
        <w:rPr>
          <w:rFonts w:hint="eastAsia" w:ascii="Times New Roman" w:hAnsi="Times New Roman" w:eastAsia="方正仿宋_GBK"/>
          <w:sz w:val="30"/>
          <w:szCs w:val="30"/>
        </w:rPr>
        <w:t>8万</w:t>
      </w:r>
      <w:r>
        <w:rPr>
          <w:rFonts w:ascii="Times New Roman" w:hAnsi="Times New Roman" w:eastAsia="方正仿宋_GBK"/>
          <w:sz w:val="30"/>
          <w:szCs w:val="30"/>
        </w:rPr>
        <w:t>亿千瓦时，占全部发电量的29.7%；其中水电</w:t>
      </w:r>
      <w:r>
        <w:rPr>
          <w:rFonts w:hint="eastAsia" w:ascii="Times New Roman" w:hAnsi="Times New Roman" w:eastAsia="方正仿宋_GBK"/>
          <w:sz w:val="30"/>
          <w:szCs w:val="30"/>
        </w:rPr>
        <w:t>发电量</w:t>
      </w:r>
      <w:r>
        <w:rPr>
          <w:rFonts w:ascii="Times New Roman" w:hAnsi="Times New Roman" w:eastAsia="方正仿宋_GBK"/>
          <w:sz w:val="30"/>
          <w:szCs w:val="30"/>
        </w:rPr>
        <w:t>1</w:t>
      </w:r>
      <w:r>
        <w:rPr>
          <w:rFonts w:hint="eastAsia" w:ascii="Times New Roman" w:hAnsi="Times New Roman" w:eastAsia="方正仿宋_GBK"/>
          <w:sz w:val="30"/>
          <w:szCs w:val="30"/>
        </w:rPr>
        <w:t>.</w:t>
      </w:r>
      <w:r>
        <w:rPr>
          <w:rFonts w:ascii="Times New Roman" w:hAnsi="Times New Roman" w:eastAsia="方正仿宋_GBK"/>
          <w:sz w:val="30"/>
          <w:szCs w:val="30"/>
        </w:rPr>
        <w:t>34</w:t>
      </w:r>
      <w:r>
        <w:rPr>
          <w:rFonts w:hint="eastAsia" w:ascii="Times New Roman" w:hAnsi="Times New Roman" w:eastAsia="方正仿宋_GBK"/>
          <w:sz w:val="30"/>
          <w:szCs w:val="30"/>
        </w:rPr>
        <w:t>万</w:t>
      </w:r>
      <w:r>
        <w:rPr>
          <w:rFonts w:ascii="Times New Roman" w:hAnsi="Times New Roman" w:eastAsia="方正仿宋_GBK"/>
          <w:sz w:val="30"/>
          <w:szCs w:val="30"/>
        </w:rPr>
        <w:t>亿千瓦时，占全部发电量的16.0%；风电</w:t>
      </w:r>
      <w:r>
        <w:rPr>
          <w:rFonts w:hint="eastAsia" w:ascii="Times New Roman" w:hAnsi="Times New Roman" w:eastAsia="方正仿宋_GBK"/>
          <w:sz w:val="30"/>
          <w:szCs w:val="30"/>
        </w:rPr>
        <w:t>发电量</w:t>
      </w:r>
      <w:r>
        <w:rPr>
          <w:rFonts w:ascii="Times New Roman" w:hAnsi="Times New Roman" w:eastAsia="方正仿宋_GBK"/>
          <w:sz w:val="30"/>
          <w:szCs w:val="30"/>
        </w:rPr>
        <w:t>6556亿千瓦时，占全部发电量的7.8%；</w:t>
      </w:r>
      <w:r>
        <w:rPr>
          <w:rFonts w:hint="eastAsia" w:ascii="Times New Roman" w:hAnsi="Times New Roman" w:eastAsia="方正仿宋_GBK"/>
          <w:sz w:val="30"/>
          <w:szCs w:val="30"/>
        </w:rPr>
        <w:t>光伏发电量</w:t>
      </w:r>
      <w:r>
        <w:rPr>
          <w:rFonts w:ascii="Times New Roman" w:hAnsi="Times New Roman" w:eastAsia="方正仿宋_GBK"/>
          <w:sz w:val="30"/>
          <w:szCs w:val="30"/>
        </w:rPr>
        <w:t>3259亿千瓦时，占全部发电量的3.9%；生物质发电</w:t>
      </w:r>
      <w:r>
        <w:rPr>
          <w:rFonts w:hint="eastAsia" w:ascii="Times New Roman" w:hAnsi="Times New Roman" w:eastAsia="方正仿宋_GBK"/>
          <w:sz w:val="30"/>
          <w:szCs w:val="30"/>
        </w:rPr>
        <w:t>量</w:t>
      </w:r>
      <w:r>
        <w:rPr>
          <w:rFonts w:ascii="Times New Roman" w:hAnsi="Times New Roman" w:eastAsia="方正仿宋_GBK"/>
          <w:sz w:val="30"/>
          <w:szCs w:val="30"/>
        </w:rPr>
        <w:t>1637亿千瓦时，占全部发电量的2.0%。</w:t>
      </w:r>
    </w:p>
    <w:p>
      <w:pPr>
        <w:pStyle w:val="2"/>
        <w:ind w:firstLine="600"/>
      </w:pPr>
      <w:r>
        <w:t>二、</w:t>
      </w:r>
      <w:r>
        <w:rPr>
          <w:rFonts w:hint="eastAsia"/>
        </w:rPr>
        <w:t>各省（区、市）可再生能源电力消纳责任权重完成情况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2021年</w:t>
      </w:r>
      <w:r>
        <w:rPr>
          <w:rFonts w:hint="eastAsia" w:ascii="Times New Roman" w:hAnsi="Times New Roman" w:eastAsia="方正仿宋_GBK"/>
          <w:sz w:val="30"/>
          <w:szCs w:val="30"/>
        </w:rPr>
        <w:t>全国</w:t>
      </w:r>
      <w:r>
        <w:rPr>
          <w:rFonts w:ascii="Times New Roman" w:hAnsi="Times New Roman" w:eastAsia="方正仿宋_GBK"/>
          <w:sz w:val="30"/>
          <w:szCs w:val="30"/>
        </w:rPr>
        <w:t>可再生能源电力实际消纳量为24446亿千瓦时，占全社会用电量比重29.4%，同比提高0.6个百分点</w:t>
      </w:r>
      <w:r>
        <w:rPr>
          <w:rFonts w:hint="eastAsia" w:ascii="Times New Roman" w:hAnsi="Times New Roman" w:eastAsia="方正仿宋_GBK"/>
          <w:sz w:val="30"/>
          <w:szCs w:val="30"/>
        </w:rPr>
        <w:t>；全国非水电可再生能源电力消纳量为</w:t>
      </w:r>
      <w:r>
        <w:rPr>
          <w:rFonts w:ascii="Times New Roman" w:hAnsi="Times New Roman" w:eastAsia="方正仿宋_GBK"/>
          <w:sz w:val="30"/>
          <w:szCs w:val="30"/>
        </w:rPr>
        <w:t>11398</w:t>
      </w:r>
      <w:r>
        <w:rPr>
          <w:rFonts w:hint="eastAsia" w:ascii="Times New Roman" w:hAnsi="Times New Roman" w:eastAsia="方正仿宋_GBK"/>
          <w:sz w:val="30"/>
          <w:szCs w:val="30"/>
        </w:rPr>
        <w:t>亿千瓦时，占全社会用电量比重为1</w:t>
      </w:r>
      <w:r>
        <w:rPr>
          <w:rFonts w:ascii="Times New Roman" w:hAnsi="Times New Roman" w:eastAsia="方正仿宋_GBK"/>
          <w:sz w:val="30"/>
          <w:szCs w:val="30"/>
        </w:rPr>
        <w:t>3.7</w:t>
      </w:r>
      <w:r>
        <w:rPr>
          <w:rFonts w:hint="eastAsia" w:ascii="Times New Roman" w:hAnsi="Times New Roman" w:eastAsia="方正仿宋_GBK"/>
          <w:sz w:val="30"/>
          <w:szCs w:val="30"/>
        </w:rPr>
        <w:t>%，同比增长</w:t>
      </w:r>
      <w:r>
        <w:rPr>
          <w:rFonts w:ascii="Times New Roman" w:hAnsi="Times New Roman" w:eastAsia="方正仿宋_GBK"/>
          <w:sz w:val="30"/>
          <w:szCs w:val="30"/>
        </w:rPr>
        <w:t>2.3</w:t>
      </w:r>
      <w:r>
        <w:rPr>
          <w:rFonts w:hint="eastAsia" w:ascii="Times New Roman" w:hAnsi="Times New Roman" w:eastAsia="方正仿宋_GBK"/>
          <w:sz w:val="30"/>
          <w:szCs w:val="30"/>
        </w:rPr>
        <w:t>个百分点。</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根据《国家发展改革委 国家能源局关于2021年可再生能源电力消纳责任权重及有关事项的通知》（发改能源〔2021〕704号）公布的202</w:t>
      </w:r>
      <w:r>
        <w:rPr>
          <w:rFonts w:ascii="Times New Roman" w:hAnsi="Times New Roman" w:eastAsia="方正仿宋_GBK"/>
          <w:sz w:val="30"/>
          <w:szCs w:val="30"/>
        </w:rPr>
        <w:t>1</w:t>
      </w:r>
      <w:r>
        <w:rPr>
          <w:rFonts w:hint="eastAsia" w:ascii="Times New Roman" w:hAnsi="Times New Roman" w:eastAsia="方正仿宋_GBK"/>
          <w:sz w:val="30"/>
          <w:szCs w:val="30"/>
        </w:rPr>
        <w:t>年各省（自治区、直辖市）可再生能源电力消纳责任权重，</w:t>
      </w:r>
      <w:r>
        <w:rPr>
          <w:rFonts w:ascii="Times New Roman" w:hAnsi="Times New Roman" w:eastAsia="方正仿宋_GBK"/>
          <w:sz w:val="30"/>
          <w:szCs w:val="30"/>
        </w:rPr>
        <w:t>综合考虑各省本地生产</w:t>
      </w:r>
      <w:r>
        <w:rPr>
          <w:rFonts w:hint="eastAsia" w:ascii="Times New Roman" w:hAnsi="Times New Roman" w:eastAsia="方正仿宋_GBK"/>
          <w:sz w:val="30"/>
          <w:szCs w:val="30"/>
        </w:rPr>
        <w:t>、</w:t>
      </w:r>
      <w:r>
        <w:rPr>
          <w:rFonts w:ascii="Times New Roman" w:hAnsi="Times New Roman" w:eastAsia="方正仿宋_GBK"/>
          <w:sz w:val="30"/>
          <w:szCs w:val="30"/>
        </w:rPr>
        <w:t>本地利用以及外</w:t>
      </w:r>
      <w:r>
        <w:rPr>
          <w:rFonts w:hint="eastAsia" w:ascii="Times New Roman" w:hAnsi="Times New Roman" w:eastAsia="方正仿宋_GBK"/>
          <w:sz w:val="30"/>
          <w:szCs w:val="30"/>
        </w:rPr>
        <w:t>来</w:t>
      </w:r>
      <w:r>
        <w:rPr>
          <w:rFonts w:ascii="Times New Roman" w:hAnsi="Times New Roman" w:eastAsia="方正仿宋_GBK"/>
          <w:sz w:val="30"/>
          <w:szCs w:val="30"/>
        </w:rPr>
        <w:t>电力消纳情况，</w:t>
      </w:r>
      <w:r>
        <w:rPr>
          <w:rFonts w:hint="eastAsia" w:ascii="Times New Roman" w:hAnsi="Times New Roman" w:eastAsia="方正仿宋_GBK"/>
          <w:sz w:val="30"/>
          <w:szCs w:val="30"/>
        </w:rPr>
        <w:t>经核算，除西藏免除考核外，全国</w:t>
      </w:r>
      <w:r>
        <w:rPr>
          <w:rFonts w:ascii="Times New Roman" w:hAnsi="Times New Roman" w:eastAsia="方正仿宋_GBK"/>
          <w:sz w:val="30"/>
          <w:szCs w:val="30"/>
        </w:rPr>
        <w:t>28</w:t>
      </w:r>
      <w:r>
        <w:rPr>
          <w:rFonts w:hint="eastAsia" w:ascii="Times New Roman" w:hAnsi="Times New Roman" w:eastAsia="方正仿宋_GBK"/>
          <w:sz w:val="30"/>
          <w:szCs w:val="30"/>
        </w:rPr>
        <w:t>个省（自治区、直辖市）完成了国家能源主管部门下达的最低总量消纳责任权重，甘肃和新疆可再生能源电力总量消纳实际完成情况较最低消纳责任权重分别低2</w:t>
      </w:r>
      <w:r>
        <w:rPr>
          <w:rFonts w:ascii="Times New Roman" w:hAnsi="Times New Roman" w:eastAsia="方正仿宋_GBK"/>
          <w:sz w:val="30"/>
          <w:szCs w:val="30"/>
        </w:rPr>
        <w:t>.6</w:t>
      </w:r>
      <w:r>
        <w:rPr>
          <w:rFonts w:hint="eastAsia" w:ascii="Times New Roman" w:hAnsi="Times New Roman" w:eastAsia="方正仿宋_GBK"/>
          <w:sz w:val="30"/>
          <w:szCs w:val="30"/>
        </w:rPr>
        <w:t>个和1</w:t>
      </w:r>
      <w:r>
        <w:rPr>
          <w:rFonts w:ascii="Times New Roman" w:hAnsi="Times New Roman" w:eastAsia="方正仿宋_GBK"/>
          <w:sz w:val="30"/>
          <w:szCs w:val="30"/>
        </w:rPr>
        <w:t>.8</w:t>
      </w:r>
      <w:r>
        <w:rPr>
          <w:rFonts w:hint="eastAsia" w:ascii="Times New Roman" w:hAnsi="Times New Roman" w:eastAsia="方正仿宋_GBK"/>
          <w:sz w:val="30"/>
          <w:szCs w:val="30"/>
        </w:rPr>
        <w:t>个百分点；全国2</w:t>
      </w:r>
      <w:r>
        <w:rPr>
          <w:rFonts w:ascii="Times New Roman" w:hAnsi="Times New Roman" w:eastAsia="方正仿宋_GBK"/>
          <w:sz w:val="30"/>
          <w:szCs w:val="30"/>
        </w:rPr>
        <w:t>9</w:t>
      </w:r>
      <w:r>
        <w:rPr>
          <w:rFonts w:hint="eastAsia" w:ascii="Times New Roman" w:hAnsi="Times New Roman" w:eastAsia="方正仿宋_GBK"/>
          <w:sz w:val="30"/>
          <w:szCs w:val="30"/>
        </w:rPr>
        <w:t>个省（自治区、直辖市）完成了国家能源主管部门下达的最低非水电消纳责任权重，新疆非水电可再生能源电力消纳实际完成情况较最低消纳责任权重低</w:t>
      </w:r>
      <w:r>
        <w:rPr>
          <w:rFonts w:ascii="Times New Roman" w:hAnsi="Times New Roman" w:eastAsia="方正仿宋_GBK"/>
          <w:sz w:val="30"/>
          <w:szCs w:val="30"/>
        </w:rPr>
        <w:t>0.6</w:t>
      </w:r>
      <w:r>
        <w:rPr>
          <w:rFonts w:hint="eastAsia" w:ascii="Times New Roman" w:hAnsi="Times New Roman" w:eastAsia="方正仿宋_GBK"/>
          <w:sz w:val="30"/>
          <w:szCs w:val="30"/>
        </w:rPr>
        <w:t>个百分点。</w:t>
      </w:r>
    </w:p>
    <w:p>
      <w:pPr>
        <w:spacing w:line="600" w:lineRule="exact"/>
        <w:ind w:firstLine="600" w:firstLineChars="200"/>
        <w:rPr>
          <w:rFonts w:hint="eastAsia" w:ascii="Times New Roman" w:hAnsi="Times New Roman" w:eastAsia="方正仿宋_GBK"/>
          <w:sz w:val="30"/>
          <w:szCs w:val="30"/>
        </w:rPr>
      </w:pPr>
      <w:r>
        <w:rPr>
          <w:rFonts w:hint="eastAsia" w:ascii="Times New Roman" w:hAnsi="Times New Roman" w:eastAsia="方正仿宋_GBK"/>
          <w:sz w:val="30"/>
          <w:szCs w:val="30"/>
        </w:rPr>
        <w:t>据统计，30个省（区、市）中，可再生能源电力消纳占全社会用电量的比重超过80%以上的</w:t>
      </w:r>
      <w:r>
        <w:rPr>
          <w:rFonts w:ascii="Times New Roman" w:hAnsi="Times New Roman" w:eastAsia="方正仿宋_GBK"/>
          <w:sz w:val="30"/>
          <w:szCs w:val="30"/>
        </w:rPr>
        <w:t>1</w:t>
      </w:r>
      <w:r>
        <w:rPr>
          <w:rFonts w:hint="eastAsia" w:ascii="Times New Roman" w:hAnsi="Times New Roman" w:eastAsia="方正仿宋_GBK"/>
          <w:sz w:val="30"/>
          <w:szCs w:val="30"/>
        </w:rPr>
        <w:t>个、40-80%的</w:t>
      </w:r>
      <w:r>
        <w:rPr>
          <w:rFonts w:ascii="Times New Roman" w:hAnsi="Times New Roman" w:eastAsia="方正仿宋_GBK"/>
          <w:sz w:val="30"/>
          <w:szCs w:val="30"/>
        </w:rPr>
        <w:t>7</w:t>
      </w:r>
      <w:r>
        <w:rPr>
          <w:rFonts w:hint="eastAsia" w:ascii="Times New Roman" w:hAnsi="Times New Roman" w:eastAsia="方正仿宋_GBK"/>
          <w:sz w:val="30"/>
          <w:szCs w:val="30"/>
        </w:rPr>
        <w:t>个、20-40%的1</w:t>
      </w:r>
      <w:r>
        <w:rPr>
          <w:rFonts w:ascii="Times New Roman" w:hAnsi="Times New Roman" w:eastAsia="方正仿宋_GBK"/>
          <w:sz w:val="30"/>
          <w:szCs w:val="30"/>
        </w:rPr>
        <w:t>2</w:t>
      </w:r>
      <w:r>
        <w:rPr>
          <w:rFonts w:hint="eastAsia" w:ascii="Times New Roman" w:hAnsi="Times New Roman" w:eastAsia="方正仿宋_GBK"/>
          <w:sz w:val="30"/>
          <w:szCs w:val="30"/>
        </w:rPr>
        <w:t>个、10-20%的1</w:t>
      </w:r>
      <w:r>
        <w:rPr>
          <w:rFonts w:ascii="Times New Roman" w:hAnsi="Times New Roman" w:eastAsia="方正仿宋_GBK"/>
          <w:sz w:val="30"/>
          <w:szCs w:val="30"/>
        </w:rPr>
        <w:t>0</w:t>
      </w:r>
      <w:r>
        <w:rPr>
          <w:rFonts w:hint="eastAsia" w:ascii="Times New Roman" w:hAnsi="Times New Roman" w:eastAsia="方正仿宋_GBK"/>
          <w:sz w:val="30"/>
          <w:szCs w:val="30"/>
        </w:rPr>
        <w:t>个；非水电可再生能源电力消纳占全社会用电量的比重超过20%以上的7个、10-20%的15个、5-10%的7个、5%以下的</w:t>
      </w:r>
      <w:r>
        <w:rPr>
          <w:rFonts w:ascii="Times New Roman" w:hAnsi="Times New Roman" w:eastAsia="方正仿宋_GBK"/>
          <w:sz w:val="30"/>
          <w:szCs w:val="30"/>
        </w:rPr>
        <w:t>1</w:t>
      </w:r>
      <w:r>
        <w:rPr>
          <w:rFonts w:hint="eastAsia" w:ascii="Times New Roman" w:hAnsi="Times New Roman" w:eastAsia="方正仿宋_GBK"/>
          <w:sz w:val="30"/>
          <w:szCs w:val="30"/>
        </w:rPr>
        <w:t>个。202</w:t>
      </w:r>
      <w:r>
        <w:rPr>
          <w:rFonts w:ascii="Times New Roman" w:hAnsi="Times New Roman" w:eastAsia="方正仿宋_GBK"/>
          <w:sz w:val="30"/>
          <w:szCs w:val="30"/>
        </w:rPr>
        <w:t>1</w:t>
      </w:r>
      <w:r>
        <w:rPr>
          <w:rFonts w:hint="eastAsia" w:ascii="Times New Roman" w:hAnsi="Times New Roman" w:eastAsia="方正仿宋_GBK"/>
          <w:sz w:val="30"/>
          <w:szCs w:val="30"/>
        </w:rPr>
        <w:t>年可再生能源电力消纳总量责任权重完成情况如表1，202</w:t>
      </w:r>
      <w:r>
        <w:rPr>
          <w:rFonts w:ascii="Times New Roman" w:hAnsi="Times New Roman" w:eastAsia="方正仿宋_GBK"/>
          <w:sz w:val="30"/>
          <w:szCs w:val="30"/>
        </w:rPr>
        <w:t>1</w:t>
      </w:r>
      <w:r>
        <w:rPr>
          <w:rFonts w:hint="eastAsia" w:ascii="Times New Roman" w:hAnsi="Times New Roman" w:eastAsia="方正仿宋_GBK"/>
          <w:sz w:val="30"/>
          <w:szCs w:val="30"/>
        </w:rPr>
        <w:t>年可再生能源电力消纳非水电责任权重完成情况如表2。</w:t>
      </w:r>
    </w:p>
    <w:p>
      <w:pPr>
        <w:spacing w:line="600" w:lineRule="exact"/>
        <w:ind w:firstLine="600" w:firstLineChars="200"/>
        <w:rPr>
          <w:rFonts w:ascii="Times New Roman" w:hAnsi="Times New Roman" w:eastAsia="方正仿宋_GBK"/>
          <w:sz w:val="30"/>
          <w:szCs w:val="30"/>
        </w:rPr>
      </w:pPr>
      <w:bookmarkStart w:id="1" w:name="_GoBack"/>
      <w:bookmarkEnd w:id="1"/>
    </w:p>
    <w:p>
      <w:pPr>
        <w:pStyle w:val="18"/>
        <w:spacing w:before="0" w:after="0"/>
        <w:rPr>
          <w:rFonts w:hAnsi="黑体" w:eastAsia="黑体"/>
        </w:rPr>
      </w:pPr>
      <w:r>
        <w:rPr>
          <w:rFonts w:hAnsi="黑体" w:eastAsia="黑体"/>
        </w:rPr>
        <w:t>表</w:t>
      </w:r>
      <w:r>
        <w:rPr>
          <w:rFonts w:eastAsia="黑体"/>
        </w:rPr>
        <w:t>1  20</w:t>
      </w:r>
      <w:r>
        <w:rPr>
          <w:rFonts w:hint="eastAsia" w:eastAsia="黑体"/>
        </w:rPr>
        <w:t>2</w:t>
      </w:r>
      <w:r>
        <w:rPr>
          <w:rFonts w:eastAsia="黑体"/>
        </w:rPr>
        <w:t>1</w:t>
      </w:r>
      <w:r>
        <w:rPr>
          <w:rFonts w:hAnsi="黑体" w:eastAsia="黑体"/>
        </w:rPr>
        <w:t>年可再生能源电力消纳</w:t>
      </w:r>
      <w:r>
        <w:rPr>
          <w:rFonts w:hint="eastAsia" w:hAnsi="黑体" w:eastAsia="黑体"/>
        </w:rPr>
        <w:t>总量</w:t>
      </w:r>
      <w:r>
        <w:rPr>
          <w:rFonts w:hAnsi="黑体" w:eastAsia="黑体"/>
        </w:rPr>
        <w:t>责任权重完成情况</w:t>
      </w:r>
    </w:p>
    <w:tbl>
      <w:tblPr>
        <w:tblStyle w:val="13"/>
        <w:tblW w:w="9312" w:type="dxa"/>
        <w:jc w:val="center"/>
        <w:tblLayout w:type="autofit"/>
        <w:tblCellMar>
          <w:top w:w="0" w:type="dxa"/>
          <w:left w:w="108" w:type="dxa"/>
          <w:bottom w:w="0" w:type="dxa"/>
          <w:right w:w="108" w:type="dxa"/>
        </w:tblCellMar>
      </w:tblPr>
      <w:tblGrid>
        <w:gridCol w:w="1481"/>
        <w:gridCol w:w="1393"/>
        <w:gridCol w:w="1406"/>
        <w:gridCol w:w="1160"/>
        <w:gridCol w:w="1802"/>
        <w:gridCol w:w="2070"/>
      </w:tblGrid>
      <w:tr>
        <w:tblPrEx>
          <w:tblCellMar>
            <w:top w:w="0" w:type="dxa"/>
            <w:left w:w="108" w:type="dxa"/>
            <w:bottom w:w="0" w:type="dxa"/>
            <w:right w:w="108" w:type="dxa"/>
          </w:tblCellMar>
        </w:tblPrEx>
        <w:trPr>
          <w:trHeight w:val="695"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省（区、市）</w:t>
            </w:r>
          </w:p>
        </w:tc>
        <w:tc>
          <w:tcPr>
            <w:tcW w:w="13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w:t>
            </w:r>
            <w:r>
              <w:rPr>
                <w:rFonts w:ascii="Times New Roman" w:hAnsi="Times New Roman"/>
                <w:b/>
                <w:bCs/>
                <w:color w:val="000000"/>
                <w:kern w:val="0"/>
                <w:szCs w:val="21"/>
              </w:rPr>
              <w:t>消纳量</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（亿千瓦时）</w:t>
            </w:r>
          </w:p>
        </w:tc>
        <w:tc>
          <w:tcPr>
            <w:tcW w:w="14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情况</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同比增加</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百分点</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hint="eastAsia" w:ascii="Times New Roman" w:hAnsi="Times New Roman"/>
                <w:b/>
                <w:color w:val="000000"/>
                <w:szCs w:val="21"/>
              </w:rPr>
              <w:t>下达的最低</w:t>
            </w:r>
            <w:r>
              <w:rPr>
                <w:rFonts w:ascii="Times New Roman" w:hAnsi="Times New Roman"/>
                <w:b/>
                <w:color w:val="000000"/>
                <w:szCs w:val="21"/>
              </w:rPr>
              <w:t>总量消纳责任权重</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实际完成情况超出下达最低权重指标的百分点</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四川</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2633</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80.4%</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74.0%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6.4</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云南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1657</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77.5%</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75.0%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2.5</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青海</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662</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77.1%</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-7.6</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69.5%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7.6</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甘肃</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701</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46.9%</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-5.6</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49.5%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-2.6</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湖南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1000</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46.4%</w:t>
            </w:r>
            <w:r>
              <w:rPr>
                <w:rFonts w:hint="eastAsia" w:ascii="Times New Roman" w:hAnsi="Times New Roman"/>
              </w:rPr>
              <w:t>*</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-0.7</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45.0%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1.4</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重庆</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610</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45.5%</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-5.9</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43.5%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2.0</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广西</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964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43.1%</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-0.2</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43.0%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0.1</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湖北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1026</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41.5%</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-1.7</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37.0%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4.5</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kern w:val="0"/>
                <w:sz w:val="22"/>
              </w:rPr>
            </w:pPr>
            <w:r>
              <w:rPr>
                <w:rFonts w:hint="eastAsia" w:ascii="Times New Roman" w:hAnsi="Times New Roman"/>
              </w:rPr>
              <w:t>贵州</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kern w:val="0"/>
                <w:sz w:val="22"/>
              </w:rPr>
            </w:pPr>
            <w:r>
              <w:rPr>
                <w:rFonts w:ascii="Times New Roman" w:hAnsi="Times New Roman"/>
              </w:rPr>
              <w:t>629</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kern w:val="0"/>
                <w:sz w:val="22"/>
              </w:rPr>
            </w:pPr>
            <w:r>
              <w:rPr>
                <w:rFonts w:ascii="Times New Roman" w:hAnsi="Times New Roman"/>
              </w:rPr>
              <w:t>36.1%</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kern w:val="0"/>
                <w:sz w:val="22"/>
              </w:rPr>
            </w:pPr>
            <w:r>
              <w:rPr>
                <w:rFonts w:hint="eastAsia" w:ascii="Times New Roman" w:hAnsi="Times New Roman" w:eastAsia="等线"/>
                <w:color w:val="000000"/>
                <w:sz w:val="22"/>
              </w:rPr>
              <w:t>-4.6</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35.5%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0.6</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上海</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558</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31.9%</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-3.7</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31.5%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0.4</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吉林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252</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29.9%</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28.0%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1.9</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江西</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546</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29.3%</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4.1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26.5%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2.8</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河南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1058</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29.0%</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7.4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21.5%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7.5</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广东</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2281</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29.0%</w:t>
            </w:r>
            <w:r>
              <w:rPr>
                <w:rFonts w:hint="eastAsia" w:ascii="Times New Roman" w:hAnsi="Times New Roman"/>
              </w:rPr>
              <w:t>*</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-4.1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29.0%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0.0</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宁夏</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334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28.8%</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2.1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24.0%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4.8</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陕西</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525</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26.7%</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1.8</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25.0%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1.7</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山西</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649</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24.9%</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6.1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20.0%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4.9</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内蒙古</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954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24.1%</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w:t>
            </w:r>
            <w:r>
              <w:rPr>
                <w:rFonts w:ascii="Times New Roman" w:hAnsi="Times New Roman" w:eastAsia="等线"/>
                <w:color w:val="000000"/>
                <w:sz w:val="22"/>
              </w:rPr>
              <w:t>.0</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20.5%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3.6</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黑龙江</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254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23.3%</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-0.1</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22.0%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1.3</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新疆</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712</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20.2%</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-0.3</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22.0%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-1.8</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北京</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244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19.8%</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18.0%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1.8</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天津</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191</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19.5%</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17.0%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2.5</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安徽</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524</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19.3%</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1.7</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16.0%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3.3</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b/>
                <w:bCs/>
              </w:rPr>
            </w:pPr>
            <w:r>
              <w:rPr>
                <w:rFonts w:hint="eastAsia" w:ascii="Times New Roman" w:hAnsi="Times New Roman"/>
              </w:rPr>
              <w:t>辽宁</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rPr>
            </w:pPr>
            <w:r>
              <w:rPr>
                <w:rFonts w:ascii="Times New Roman" w:hAnsi="Times New Roman"/>
              </w:rPr>
              <w:t>492</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rPr>
            </w:pPr>
            <w:r>
              <w:rPr>
                <w:rFonts w:ascii="Times New Roman" w:hAnsi="Times New Roman"/>
              </w:rPr>
              <w:t>19.1%</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eastAsia="等线"/>
                <w:color w:val="000000"/>
                <w:sz w:val="22"/>
              </w:rPr>
            </w:pPr>
            <w:r>
              <w:rPr>
                <w:rFonts w:hint="eastAsia" w:ascii="Times New Roman" w:hAnsi="Times New Roman" w:eastAsia="等线"/>
                <w:color w:val="000000"/>
                <w:sz w:val="22"/>
              </w:rPr>
              <w:t>1.9</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rPr>
            </w:pPr>
            <w:r>
              <w:rPr>
                <w:rFonts w:ascii="Times New Roman" w:hAnsi="Times New Roman"/>
              </w:rPr>
              <w:t>15.5%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rPr>
            </w:pPr>
            <w:r>
              <w:rPr>
                <w:rFonts w:ascii="Times New Roman" w:hAnsi="Times New Roman"/>
              </w:rPr>
              <w:t>3.6</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福建</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539</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19.0%</w:t>
            </w:r>
            <w:r>
              <w:rPr>
                <w:rFonts w:hint="eastAsia" w:ascii="Times New Roman" w:hAnsi="Times New Roman"/>
              </w:rPr>
              <w:t>*</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w:t>
            </w:r>
            <w:r>
              <w:rPr>
                <w:rFonts w:ascii="Times New Roman" w:hAnsi="Times New Roman" w:eastAsia="等线"/>
                <w:color w:val="000000"/>
                <w:sz w:val="22"/>
              </w:rPr>
              <w:t>.0</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19.0%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0.0</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浙江</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1042</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18.9%</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-0.7</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18.5%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0.4</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江苏</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1321</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18.6%</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1.8</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16.5%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2.1</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河北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756</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17.6%</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16.5%</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1.1</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海南</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71</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17.5%</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1.3</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16.0%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1.5</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 w:val="22"/>
              </w:rPr>
            </w:pPr>
            <w:r>
              <w:rPr>
                <w:rFonts w:hint="eastAsia" w:ascii="Times New Roman" w:hAnsi="Times New Roman"/>
              </w:rPr>
              <w:t>山东</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1167</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15.8%</w:t>
            </w:r>
          </w:p>
        </w:tc>
        <w:tc>
          <w:tcPr>
            <w:tcW w:w="1160"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bCs/>
                <w:color w:val="000000"/>
                <w:kern w:val="0"/>
                <w:sz w:val="22"/>
              </w:rPr>
            </w:pPr>
            <w:r>
              <w:rPr>
                <w:rFonts w:hint="eastAsia" w:ascii="Times New Roman" w:hAnsi="Times New Roman" w:eastAsia="等线"/>
                <w:color w:val="000000"/>
                <w:sz w:val="22"/>
              </w:rPr>
              <w:t>3.4</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ascii="Times New Roman" w:hAnsi="Times New Roman"/>
              </w:rPr>
              <w:t>13.0%</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kern w:val="0"/>
                <w:sz w:val="20"/>
                <w:szCs w:val="20"/>
              </w:rPr>
            </w:pPr>
            <w:r>
              <w:rPr>
                <w:rFonts w:ascii="Times New Roman" w:hAnsi="Times New Roman"/>
              </w:rPr>
              <w:t>2.8</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eastAsia="等线"/>
                <w:color w:val="000000"/>
                <w:kern w:val="0"/>
                <w:szCs w:val="21"/>
              </w:rPr>
            </w:pPr>
            <w:r>
              <w:rPr>
                <w:rFonts w:hint="eastAsia" w:ascii="Times New Roman" w:hAnsi="Times New Roman"/>
              </w:rPr>
              <w:t>西藏</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95</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 w:val="22"/>
              </w:rPr>
            </w:pPr>
            <w:r>
              <w:rPr>
                <w:rFonts w:ascii="Times New Roman" w:hAnsi="Times New Roman"/>
              </w:rPr>
              <w:t>94.1%</w:t>
            </w:r>
          </w:p>
        </w:tc>
        <w:tc>
          <w:tcPr>
            <w:tcW w:w="11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
                <w:bCs/>
                <w:color w:val="000000"/>
                <w:kern w:val="0"/>
                <w:sz w:val="20"/>
                <w:szCs w:val="20"/>
              </w:rPr>
            </w:pPr>
            <w:r>
              <w:rPr>
                <w:rFonts w:hint="eastAsia" w:ascii="Times New Roman" w:hAnsi="Times New Roman" w:eastAsia="等线"/>
                <w:color w:val="000000"/>
                <w:sz w:val="22"/>
              </w:rPr>
              <w:t>7.0</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hint="eastAsia" w:ascii="Times New Roman" w:hAnsi="Times New Roman"/>
              </w:rPr>
              <w:t>不考核</w:t>
            </w: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bCs/>
                <w:color w:val="000000"/>
                <w:kern w:val="0"/>
                <w:sz w:val="20"/>
                <w:szCs w:val="20"/>
              </w:rPr>
            </w:pPr>
            <w:r>
              <w:rPr>
                <w:rFonts w:hint="eastAsia" w:ascii="Times New Roman" w:hAnsi="Times New Roman"/>
              </w:rPr>
              <w:t>不考核</w:t>
            </w:r>
          </w:p>
        </w:tc>
      </w:tr>
      <w:tr>
        <w:tblPrEx>
          <w:tblCellMar>
            <w:top w:w="0" w:type="dxa"/>
            <w:left w:w="108" w:type="dxa"/>
            <w:bottom w:w="0" w:type="dxa"/>
            <w:right w:w="108" w:type="dxa"/>
          </w:tblCellMar>
        </w:tblPrEx>
        <w:trPr>
          <w:trHeight w:val="32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全国</w:t>
            </w:r>
          </w:p>
        </w:tc>
        <w:tc>
          <w:tcPr>
            <w:tcW w:w="1393"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eastAsia="等线"/>
                <w:b/>
                <w:bCs/>
                <w:color w:val="000000"/>
                <w:kern w:val="0"/>
                <w:sz w:val="20"/>
                <w:szCs w:val="20"/>
              </w:rPr>
            </w:pPr>
            <w:r>
              <w:rPr>
                <w:rFonts w:ascii="Times New Roman" w:hAnsi="Times New Roman"/>
              </w:rPr>
              <w:t>24446</w:t>
            </w:r>
          </w:p>
        </w:tc>
        <w:tc>
          <w:tcPr>
            <w:tcW w:w="1406"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
                <w:bCs/>
                <w:color w:val="000000"/>
                <w:kern w:val="0"/>
                <w:sz w:val="20"/>
                <w:szCs w:val="20"/>
              </w:rPr>
            </w:pPr>
            <w:r>
              <w:rPr>
                <w:rFonts w:ascii="Times New Roman" w:hAnsi="Times New Roman"/>
                <w:b/>
                <w:bCs/>
              </w:rPr>
              <w:t>29.4%</w:t>
            </w:r>
          </w:p>
        </w:tc>
        <w:tc>
          <w:tcPr>
            <w:tcW w:w="1160"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
                <w:bCs/>
                <w:color w:val="000000"/>
                <w:kern w:val="0"/>
                <w:sz w:val="20"/>
                <w:szCs w:val="20"/>
              </w:rPr>
            </w:pPr>
            <w:r>
              <w:rPr>
                <w:rFonts w:hint="eastAsia" w:ascii="Times New Roman" w:hAnsi="Times New Roman" w:eastAsia="等线"/>
                <w:color w:val="000000"/>
                <w:sz w:val="22"/>
              </w:rPr>
              <w:t>0.6</w:t>
            </w:r>
          </w:p>
        </w:tc>
        <w:tc>
          <w:tcPr>
            <w:tcW w:w="1802" w:type="dxa"/>
            <w:tcBorders>
              <w:top w:val="single" w:color="auto" w:sz="4" w:space="0"/>
              <w:left w:val="nil"/>
              <w:bottom w:val="single" w:color="auto" w:sz="4" w:space="0"/>
              <w:right w:val="single" w:color="auto" w:sz="4" w:space="0"/>
            </w:tcBorders>
          </w:tcPr>
          <w:p>
            <w:pPr>
              <w:widowControl/>
              <w:jc w:val="center"/>
              <w:rPr>
                <w:rFonts w:ascii="Times New Roman" w:hAnsi="Times New Roman"/>
                <w:b/>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
                <w:color w:val="000000"/>
                <w:kern w:val="0"/>
                <w:szCs w:val="21"/>
              </w:rPr>
            </w:pPr>
          </w:p>
        </w:tc>
      </w:tr>
      <w:tr>
        <w:tblPrEx>
          <w:tblCellMar>
            <w:top w:w="0" w:type="dxa"/>
            <w:left w:w="108" w:type="dxa"/>
            <w:bottom w:w="0" w:type="dxa"/>
            <w:right w:w="108" w:type="dxa"/>
          </w:tblCellMar>
        </w:tblPrEx>
        <w:trPr>
          <w:trHeight w:val="270" w:hRule="atLeast"/>
          <w:jc w:val="center"/>
        </w:trPr>
        <w:tc>
          <w:tcPr>
            <w:tcW w:w="931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791" w:hanging="791" w:hangingChars="375"/>
              <w:jc w:val="left"/>
              <w:rPr>
                <w:rFonts w:ascii="Times New Roman" w:hAnsi="Times New Roman"/>
              </w:rPr>
            </w:pPr>
            <w:r>
              <w:rPr>
                <w:rFonts w:hint="eastAsia" w:ascii="Times New Roman" w:hAnsi="Times New Roman"/>
                <w:b/>
                <w:bCs/>
                <w:color w:val="000000"/>
                <w:kern w:val="0"/>
                <w:szCs w:val="21"/>
              </w:rPr>
              <w:t>备注：</w:t>
            </w:r>
            <w:r>
              <w:rPr>
                <w:rFonts w:hint="eastAsia" w:ascii="Times New Roman" w:hAnsi="Times New Roman"/>
                <w:color w:val="000000"/>
                <w:kern w:val="0"/>
                <w:szCs w:val="21"/>
              </w:rPr>
              <w:t>1</w:t>
            </w:r>
            <w:r>
              <w:rPr>
                <w:rFonts w:ascii="Times New Roman" w:hAnsi="Times New Roman"/>
                <w:color w:val="000000"/>
                <w:kern w:val="0"/>
                <w:szCs w:val="21"/>
              </w:rPr>
              <w:t>.</w:t>
            </w:r>
            <w:r>
              <w:rPr>
                <w:rFonts w:hint="eastAsia" w:ascii="Times New Roman" w:hAnsi="Times New Roman"/>
              </w:rPr>
              <w:t>湖南计入贵州点对网45.5亿千瓦时水电；</w:t>
            </w:r>
          </w:p>
          <w:p>
            <w:pPr>
              <w:widowControl/>
              <w:ind w:left="630" w:leftChars="300"/>
              <w:jc w:val="left"/>
              <w:rPr>
                <w:rFonts w:ascii="Times New Roman" w:hAnsi="Times New Roman"/>
                <w:color w:val="000000"/>
                <w:kern w:val="0"/>
                <w:szCs w:val="21"/>
              </w:rPr>
            </w:pPr>
            <w:r>
              <w:rPr>
                <w:rFonts w:hint="eastAsia" w:ascii="Times New Roman" w:hAnsi="Times New Roman"/>
                <w:color w:val="000000"/>
              </w:rPr>
              <w:t>2</w:t>
            </w:r>
            <w:r>
              <w:rPr>
                <w:rFonts w:ascii="Times New Roman" w:hAnsi="Times New Roman"/>
                <w:color w:val="000000"/>
              </w:rPr>
              <w:t>.</w:t>
            </w:r>
            <w:r>
              <w:rPr>
                <w:rFonts w:hint="eastAsia" w:ascii="Times New Roman" w:hAnsi="Times New Roman"/>
                <w:color w:val="000000"/>
                <w:kern w:val="0"/>
                <w:szCs w:val="21"/>
              </w:rPr>
              <w:t>福建省加上了安徽省转让的3</w:t>
            </w:r>
            <w:r>
              <w:rPr>
                <w:rFonts w:ascii="Times New Roman" w:hAnsi="Times New Roman"/>
                <w:color w:val="000000"/>
                <w:kern w:val="0"/>
                <w:szCs w:val="21"/>
              </w:rPr>
              <w:t>6</w:t>
            </w:r>
            <w:r>
              <w:rPr>
                <w:rFonts w:hint="eastAsia" w:ascii="Times New Roman" w:hAnsi="Times New Roman"/>
                <w:color w:val="000000"/>
                <w:kern w:val="0"/>
                <w:szCs w:val="21"/>
              </w:rPr>
              <w:t>亿千瓦时可再生能源总量超额消纳量；</w:t>
            </w:r>
          </w:p>
          <w:p>
            <w:pPr>
              <w:widowControl/>
              <w:ind w:left="630" w:leftChars="300"/>
              <w:jc w:val="left"/>
              <w:rPr>
                <w:rFonts w:ascii="Times New Roman" w:hAnsi="Times New Roman"/>
                <w:b/>
                <w:bCs/>
                <w:color w:val="000000"/>
                <w:kern w:val="0"/>
                <w:szCs w:val="21"/>
              </w:rPr>
            </w:pPr>
            <w:r>
              <w:rPr>
                <w:rFonts w:hint="eastAsia" w:ascii="Times New Roman" w:hAnsi="Times New Roman"/>
                <w:color w:val="000000"/>
                <w:kern w:val="0"/>
                <w:szCs w:val="21"/>
              </w:rPr>
              <w:t>3</w:t>
            </w:r>
            <w:r>
              <w:rPr>
                <w:rFonts w:ascii="Times New Roman" w:hAnsi="Times New Roman"/>
                <w:color w:val="000000"/>
                <w:kern w:val="0"/>
                <w:szCs w:val="21"/>
              </w:rPr>
              <w:t>.</w:t>
            </w:r>
            <w:r>
              <w:rPr>
                <w:rFonts w:hint="eastAsia" w:ascii="Times New Roman" w:hAnsi="Times New Roman"/>
                <w:color w:val="000000"/>
                <w:kern w:val="0"/>
                <w:szCs w:val="21"/>
              </w:rPr>
              <w:t>广东省加上了云南省转让的4</w:t>
            </w:r>
            <w:r>
              <w:rPr>
                <w:rFonts w:ascii="Times New Roman" w:hAnsi="Times New Roman"/>
                <w:color w:val="000000"/>
                <w:kern w:val="0"/>
                <w:szCs w:val="21"/>
              </w:rPr>
              <w:t>9</w:t>
            </w:r>
            <w:r>
              <w:rPr>
                <w:rFonts w:hint="eastAsia" w:ascii="Times New Roman" w:hAnsi="Times New Roman"/>
                <w:color w:val="000000"/>
                <w:kern w:val="0"/>
                <w:szCs w:val="21"/>
              </w:rPr>
              <w:t>亿千瓦时可再生能源总量超额消纳量。</w:t>
            </w:r>
          </w:p>
        </w:tc>
      </w:tr>
    </w:tbl>
    <w:p>
      <w:pPr>
        <w:pStyle w:val="18"/>
        <w:spacing w:before="0" w:after="0"/>
        <w:rPr>
          <w:rFonts w:hAnsi="黑体" w:eastAsia="黑体"/>
        </w:rPr>
      </w:pPr>
      <w:r>
        <w:rPr>
          <w:rFonts w:hAnsi="黑体" w:eastAsia="黑体"/>
        </w:rPr>
        <w:t>表</w:t>
      </w:r>
      <w:r>
        <w:rPr>
          <w:rFonts w:eastAsia="黑体"/>
        </w:rPr>
        <w:t>2  20</w:t>
      </w:r>
      <w:r>
        <w:rPr>
          <w:rFonts w:hint="eastAsia" w:eastAsia="黑体"/>
        </w:rPr>
        <w:t>2</w:t>
      </w:r>
      <w:r>
        <w:rPr>
          <w:rFonts w:eastAsia="黑体"/>
        </w:rPr>
        <w:t>1</w:t>
      </w:r>
      <w:r>
        <w:rPr>
          <w:rFonts w:hAnsi="黑体" w:eastAsia="黑体"/>
        </w:rPr>
        <w:t>年可再生能源电力消纳非水电责任权重完成情况</w:t>
      </w:r>
    </w:p>
    <w:tbl>
      <w:tblPr>
        <w:tblStyle w:val="13"/>
        <w:tblW w:w="9363" w:type="dxa"/>
        <w:jc w:val="center"/>
        <w:tblLayout w:type="autofit"/>
        <w:tblCellMar>
          <w:top w:w="0" w:type="dxa"/>
          <w:left w:w="108" w:type="dxa"/>
          <w:bottom w:w="0" w:type="dxa"/>
          <w:right w:w="108" w:type="dxa"/>
        </w:tblCellMar>
      </w:tblPr>
      <w:tblGrid>
        <w:gridCol w:w="1481"/>
        <w:gridCol w:w="1378"/>
        <w:gridCol w:w="1245"/>
        <w:gridCol w:w="1199"/>
        <w:gridCol w:w="1748"/>
        <w:gridCol w:w="2312"/>
      </w:tblGrid>
      <w:tr>
        <w:tblPrEx>
          <w:tblCellMar>
            <w:top w:w="0" w:type="dxa"/>
            <w:left w:w="108" w:type="dxa"/>
            <w:bottom w:w="0" w:type="dxa"/>
            <w:right w:w="108" w:type="dxa"/>
          </w:tblCellMar>
        </w:tblPrEx>
        <w:trPr>
          <w:cantSplit/>
          <w:trHeight w:val="695"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省（区、市）</w:t>
            </w:r>
          </w:p>
        </w:tc>
        <w:tc>
          <w:tcPr>
            <w:tcW w:w="13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w:t>
            </w:r>
            <w:r>
              <w:rPr>
                <w:rFonts w:ascii="Times New Roman" w:hAnsi="Times New Roman"/>
                <w:b/>
                <w:bCs/>
                <w:color w:val="000000"/>
                <w:kern w:val="0"/>
                <w:szCs w:val="21"/>
              </w:rPr>
              <w:t>消纳量</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（亿千瓦时）</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情况</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同比增加</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百分点</w:t>
            </w:r>
          </w:p>
        </w:tc>
        <w:tc>
          <w:tcPr>
            <w:tcW w:w="174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hint="eastAsia" w:ascii="Times New Roman" w:hAnsi="Times New Roman"/>
                <w:b/>
                <w:color w:val="000000"/>
                <w:szCs w:val="21"/>
              </w:rPr>
              <w:t>下达的最低</w:t>
            </w:r>
            <w:r>
              <w:rPr>
                <w:rFonts w:ascii="Times New Roman" w:hAnsi="Times New Roman"/>
                <w:b/>
                <w:color w:val="000000"/>
                <w:szCs w:val="21"/>
              </w:rPr>
              <w:t>总量消纳责任权重</w:t>
            </w:r>
          </w:p>
        </w:tc>
        <w:tc>
          <w:tcPr>
            <w:tcW w:w="23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实际完成情况超出下达最低权重指标的百分点</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青海</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251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29.3%</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3.9</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24.5%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4.8</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宁夏</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303</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26.2%</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4.8</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22.0%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4.2</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山西</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610</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23.4%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6.6</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19.0%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Cs w:val="21"/>
              </w:rPr>
            </w:pPr>
            <w:r>
              <w:rPr>
                <w:rFonts w:ascii="Times New Roman" w:hAnsi="Times New Roman"/>
              </w:rPr>
              <w:t>4.4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黑龙江</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253</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23.2%</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1.7</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20.0%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3.2</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内蒙古</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890</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22.5%</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3.0</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19.5%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3.0</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河南</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780</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21.4%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7.7</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18.0%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3.4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吉林</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177</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21.0%</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-0.3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21.0%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0.0</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北京</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239</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19.4%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17.5%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1.9</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甘肃</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283</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18.9%</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1.1</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18.0%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0.9</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天津</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181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18.4%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16.0%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陕西</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352</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17.9%</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4.3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15.0%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2.9</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河北</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721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16.8%</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16.0%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0.8</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安徽</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434</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16.0%</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2.4</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14.0%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2.0</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云南</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321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15.0%</w:t>
            </w:r>
            <w:r>
              <w:rPr>
                <w:rFonts w:hint="eastAsia" w:ascii="Times New Roman" w:hAnsi="Times New Roman"/>
              </w:rPr>
              <w:t>*</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-0.1</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15.0%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0.0</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山东</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1100</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14.9%</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3.5</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12.5%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2.4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湖南</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302</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14.0%</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2.9</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13.5%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Cs w:val="21"/>
              </w:rPr>
            </w:pPr>
            <w:r>
              <w:rPr>
                <w:rFonts w:ascii="Times New Roman" w:hAnsi="Times New Roman"/>
              </w:rPr>
              <w:t>0.5</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辽宁</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361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14.0%</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0.4</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13.5%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Cs w:val="21"/>
              </w:rPr>
            </w:pPr>
            <w:r>
              <w:rPr>
                <w:rFonts w:ascii="Times New Roman" w:hAnsi="Times New Roman"/>
              </w:rPr>
              <w:t>0.5</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江西</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244</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13.1%</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2.5</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12.0%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1.1</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江苏</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859</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12.1%</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color w:val="000000"/>
                <w:kern w:val="0"/>
                <w:szCs w:val="21"/>
              </w:rPr>
            </w:pPr>
            <w:r>
              <w:rPr>
                <w:rFonts w:hint="eastAsia" w:ascii="Times New Roman" w:hAnsi="Times New Roman" w:eastAsia="等线"/>
                <w:color w:val="000000"/>
                <w:sz w:val="22"/>
              </w:rPr>
              <w:t>3.1</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10.5%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szCs w:val="21"/>
              </w:rPr>
            </w:pPr>
            <w:r>
              <w:rPr>
                <w:rFonts w:ascii="Times New Roman" w:hAnsi="Times New Roman"/>
              </w:rPr>
              <w:t>1.6</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新疆</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420</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11.9%</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1.0</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12.5%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-0.6</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广西</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255</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11.4%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2.5</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10.0%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湖北</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269</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10.9%</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1.8</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10.0%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0.9</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贵州</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171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9.8%</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2.5</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8.5%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1.3</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海南</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ascii="Times New Roman" w:hAnsi="Times New Roman"/>
              </w:rPr>
              <w:t>38</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9.4%</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2.0</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8.0%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1.4</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kern w:val="0"/>
                <w:szCs w:val="21"/>
              </w:rPr>
            </w:pPr>
            <w:r>
              <w:rPr>
                <w:rFonts w:hint="eastAsia" w:ascii="Times New Roman" w:hAnsi="Times New Roman"/>
                <w:szCs w:val="21"/>
              </w:rPr>
              <w:t>福建</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kern w:val="0"/>
                <w:szCs w:val="21"/>
              </w:rPr>
            </w:pPr>
            <w:r>
              <w:rPr>
                <w:rFonts w:ascii="Times New Roman" w:hAnsi="Times New Roman"/>
              </w:rPr>
              <w:t>258</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kern w:val="0"/>
                <w:szCs w:val="21"/>
              </w:rPr>
            </w:pPr>
            <w:r>
              <w:rPr>
                <w:rFonts w:ascii="Times New Roman" w:hAnsi="Times New Roman"/>
              </w:rPr>
              <w:t>9.1%</w:t>
            </w:r>
            <w:r>
              <w:rPr>
                <w:rFonts w:hint="eastAsia" w:ascii="Times New Roman" w:hAnsi="Times New Roman"/>
              </w:rPr>
              <w:t>*</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kern w:val="0"/>
                <w:szCs w:val="21"/>
              </w:rPr>
            </w:pPr>
            <w:r>
              <w:rPr>
                <w:rFonts w:hint="eastAsia" w:ascii="Times New Roman" w:hAnsi="Times New Roman" w:eastAsia="等线"/>
                <w:color w:val="000000"/>
                <w:sz w:val="22"/>
              </w:rPr>
              <w:t>1.8</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7.5%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1.6</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浙江</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ascii="Times New Roman" w:hAnsi="Times New Roman"/>
              </w:rPr>
              <w:t>474</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8.6%</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1.1</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8.5%</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0.1</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四川</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233</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7.1%</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1.0</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6.0%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1.1</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广东</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ascii="Times New Roman" w:hAnsi="Times New Roman"/>
              </w:rPr>
              <w:t>448</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5.7%</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0.3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5.0%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0.7</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上海</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color w:val="000000"/>
                <w:kern w:val="0"/>
                <w:szCs w:val="21"/>
              </w:rPr>
            </w:pPr>
            <w:r>
              <w:rPr>
                <w:rFonts w:ascii="Times New Roman" w:hAnsi="Times New Roman"/>
              </w:rPr>
              <w:t>91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5.2%</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0.4</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4.0%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1.2</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hint="eastAsia" w:ascii="Times New Roman" w:hAnsi="Times New Roman"/>
                <w:szCs w:val="21"/>
              </w:rPr>
              <w:t>重庆</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eastAsia="仿宋"/>
                <w:color w:val="000000"/>
                <w:kern w:val="0"/>
                <w:szCs w:val="21"/>
              </w:rPr>
            </w:pPr>
            <w:r>
              <w:rPr>
                <w:rFonts w:ascii="Times New Roman" w:hAnsi="Times New Roman"/>
              </w:rPr>
              <w:t>58</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color w:val="000000"/>
                <w:kern w:val="0"/>
                <w:szCs w:val="21"/>
              </w:rPr>
            </w:pPr>
            <w:r>
              <w:rPr>
                <w:rFonts w:ascii="Times New Roman" w:hAnsi="Times New Roman"/>
              </w:rPr>
              <w:t>4.3%</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color w:val="000000"/>
                <w:kern w:val="0"/>
                <w:szCs w:val="21"/>
              </w:rPr>
            </w:pPr>
            <w:r>
              <w:rPr>
                <w:rFonts w:hint="eastAsia" w:ascii="Times New Roman" w:hAnsi="Times New Roman" w:eastAsia="等线"/>
                <w:color w:val="000000"/>
                <w:sz w:val="22"/>
              </w:rPr>
              <w:t>0.1</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ascii="Times New Roman" w:hAnsi="Times New Roman"/>
              </w:rPr>
              <w:t>4.0%</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szCs w:val="21"/>
              </w:rPr>
            </w:pPr>
            <w:r>
              <w:rPr>
                <w:rFonts w:ascii="Times New Roman" w:hAnsi="Times New Roman"/>
              </w:rPr>
              <w:t>0.3</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cs="宋体"/>
                <w:color w:val="000000"/>
                <w:kern w:val="0"/>
                <w:szCs w:val="21"/>
              </w:rPr>
            </w:pPr>
            <w:r>
              <w:rPr>
                <w:rFonts w:hint="eastAsia" w:ascii="Times New Roman" w:hAnsi="Times New Roman"/>
                <w:szCs w:val="21"/>
              </w:rPr>
              <w:t>西藏</w:t>
            </w:r>
          </w:p>
        </w:tc>
        <w:tc>
          <w:tcPr>
            <w:tcW w:w="1378" w:type="dxa"/>
            <w:tcBorders>
              <w:top w:val="nil"/>
              <w:left w:val="nil"/>
              <w:bottom w:val="single" w:color="auto" w:sz="4" w:space="0"/>
              <w:right w:val="single" w:color="auto" w:sz="4" w:space="0"/>
            </w:tcBorders>
            <w:shd w:val="clear" w:color="auto" w:fill="auto"/>
            <w:noWrap/>
          </w:tcPr>
          <w:p>
            <w:pPr>
              <w:widowControl/>
              <w:jc w:val="center"/>
              <w:rPr>
                <w:rFonts w:ascii="Times New Roman" w:hAnsi="Times New Roman"/>
                <w:bCs/>
                <w:color w:val="000000"/>
                <w:kern w:val="0"/>
                <w:szCs w:val="21"/>
              </w:rPr>
            </w:pPr>
            <w:r>
              <w:rPr>
                <w:rFonts w:ascii="Times New Roman" w:hAnsi="Times New Roman"/>
              </w:rPr>
              <w:t>21</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rPr>
                <w:rFonts w:ascii="Times New Roman" w:hAnsi="Times New Roman"/>
                <w:bCs/>
                <w:color w:val="000000"/>
                <w:kern w:val="0"/>
                <w:szCs w:val="21"/>
              </w:rPr>
            </w:pPr>
            <w:r>
              <w:rPr>
                <w:rFonts w:ascii="Times New Roman" w:hAnsi="Times New Roman"/>
              </w:rPr>
              <w:t>20.8%</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bCs/>
                <w:color w:val="000000"/>
                <w:kern w:val="0"/>
                <w:szCs w:val="21"/>
              </w:rPr>
            </w:pPr>
            <w:r>
              <w:rPr>
                <w:rFonts w:hint="eastAsia" w:ascii="Times New Roman" w:hAnsi="Times New Roman" w:eastAsia="等线"/>
                <w:color w:val="000000"/>
                <w:sz w:val="22"/>
              </w:rPr>
              <w:t>-0.8</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color w:val="000000"/>
                <w:szCs w:val="21"/>
              </w:rPr>
            </w:pPr>
            <w:r>
              <w:rPr>
                <w:rFonts w:hint="eastAsia" w:ascii="Times New Roman" w:hAnsi="Times New Roman"/>
              </w:rPr>
              <w:t>不考核</w:t>
            </w: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color w:val="000000"/>
                <w:szCs w:val="21"/>
              </w:rPr>
            </w:pPr>
            <w:r>
              <w:rPr>
                <w:rFonts w:hint="eastAsia" w:ascii="Times New Roman" w:hAnsi="Times New Roman"/>
                <w:szCs w:val="21"/>
              </w:rPr>
              <w:t>不考核</w:t>
            </w:r>
          </w:p>
        </w:tc>
      </w:tr>
      <w:tr>
        <w:tblPrEx>
          <w:tblCellMar>
            <w:top w:w="0" w:type="dxa"/>
            <w:left w:w="108" w:type="dxa"/>
            <w:bottom w:w="0" w:type="dxa"/>
            <w:right w:w="108" w:type="dxa"/>
          </w:tblCellMar>
        </w:tblPrEx>
        <w:trPr>
          <w:cantSplit/>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tcPr>
          <w:p>
            <w:pPr>
              <w:widowControl/>
              <w:jc w:val="center"/>
              <w:rPr>
                <w:rFonts w:ascii="Times New Roman" w:hAnsi="Times New Roman"/>
                <w:b/>
                <w:bCs/>
                <w:color w:val="000000"/>
                <w:kern w:val="0"/>
                <w:szCs w:val="21"/>
              </w:rPr>
            </w:pPr>
            <w:r>
              <w:rPr>
                <w:rFonts w:hint="eastAsia" w:ascii="Times New Roman" w:hAnsi="Times New Roman"/>
                <w:b/>
                <w:bCs/>
                <w:szCs w:val="21"/>
              </w:rPr>
              <w:t>全国</w:t>
            </w:r>
          </w:p>
        </w:tc>
        <w:tc>
          <w:tcPr>
            <w:tcW w:w="1378" w:type="dxa"/>
            <w:tcBorders>
              <w:top w:val="nil"/>
              <w:left w:val="nil"/>
              <w:bottom w:val="single" w:color="auto" w:sz="4" w:space="0"/>
              <w:right w:val="single" w:color="auto" w:sz="4" w:space="0"/>
            </w:tcBorders>
            <w:shd w:val="clear" w:color="auto" w:fill="auto"/>
            <w:noWrap/>
          </w:tcPr>
          <w:p>
            <w:pPr>
              <w:widowControl/>
              <w:jc w:val="center"/>
              <w:textAlignment w:val="center"/>
              <w:rPr>
                <w:rFonts w:ascii="Times New Roman" w:hAnsi="Times New Roman"/>
                <w:bCs/>
                <w:color w:val="000000"/>
                <w:kern w:val="0"/>
                <w:szCs w:val="21"/>
              </w:rPr>
            </w:pPr>
            <w:r>
              <w:rPr>
                <w:rFonts w:ascii="Times New Roman" w:hAnsi="Times New Roman"/>
              </w:rPr>
              <w:t>11398</w:t>
            </w:r>
          </w:p>
        </w:tc>
        <w:tc>
          <w:tcPr>
            <w:tcW w:w="1245" w:type="dxa"/>
            <w:tcBorders>
              <w:top w:val="nil"/>
              <w:left w:val="nil"/>
              <w:bottom w:val="single" w:color="auto" w:sz="4" w:space="0"/>
              <w:right w:val="single" w:color="auto" w:sz="4" w:space="0"/>
            </w:tcBorders>
            <w:shd w:val="clear" w:color="auto" w:fill="auto"/>
            <w:noWrap/>
          </w:tcPr>
          <w:p>
            <w:pPr>
              <w:widowControl/>
              <w:ind w:left="-141" w:leftChars="-67" w:firstLine="2" w:firstLineChars="1"/>
              <w:jc w:val="center"/>
              <w:textAlignment w:val="center"/>
              <w:rPr>
                <w:rFonts w:ascii="Times New Roman" w:hAnsi="Times New Roman" w:eastAsia="仿宋"/>
                <w:bCs/>
                <w:color w:val="000000"/>
                <w:kern w:val="0"/>
                <w:szCs w:val="21"/>
              </w:rPr>
            </w:pPr>
            <w:r>
              <w:rPr>
                <w:rFonts w:ascii="Times New Roman" w:hAnsi="Times New Roman"/>
              </w:rPr>
              <w:t>13.7%</w:t>
            </w:r>
          </w:p>
        </w:tc>
        <w:tc>
          <w:tcPr>
            <w:tcW w:w="1199" w:type="dxa"/>
            <w:tcBorders>
              <w:top w:val="nil"/>
              <w:left w:val="nil"/>
              <w:bottom w:val="single" w:color="auto" w:sz="4" w:space="0"/>
              <w:right w:val="single" w:color="auto" w:sz="4" w:space="0"/>
            </w:tcBorders>
            <w:shd w:val="clear" w:color="auto" w:fill="auto"/>
            <w:noWrap/>
            <w:vAlign w:val="bottom"/>
          </w:tcPr>
          <w:p>
            <w:pPr>
              <w:widowControl/>
              <w:jc w:val="center"/>
              <w:textAlignment w:val="center"/>
              <w:rPr>
                <w:rFonts w:ascii="Times New Roman" w:hAnsi="Times New Roman" w:eastAsia="仿宋"/>
                <w:bCs/>
                <w:color w:val="000000"/>
                <w:kern w:val="0"/>
                <w:szCs w:val="21"/>
              </w:rPr>
            </w:pPr>
            <w:r>
              <w:rPr>
                <w:rFonts w:hint="eastAsia" w:ascii="Times New Roman" w:hAnsi="Times New Roman" w:eastAsia="等线"/>
                <w:color w:val="000000"/>
                <w:sz w:val="22"/>
              </w:rPr>
              <w:t>2.3</w:t>
            </w:r>
          </w:p>
        </w:tc>
        <w:tc>
          <w:tcPr>
            <w:tcW w:w="1748" w:type="dxa"/>
            <w:tcBorders>
              <w:top w:val="single" w:color="auto" w:sz="4" w:space="0"/>
              <w:left w:val="nil"/>
              <w:bottom w:val="single" w:color="auto" w:sz="4" w:space="0"/>
              <w:right w:val="single" w:color="auto" w:sz="4" w:space="0"/>
            </w:tcBorders>
          </w:tcPr>
          <w:p>
            <w:pPr>
              <w:jc w:val="center"/>
              <w:rPr>
                <w:rFonts w:ascii="Times New Roman" w:hAnsi="Times New Roman" w:eastAsia="等线"/>
                <w:b/>
                <w:bCs/>
                <w:color w:val="000000"/>
                <w:szCs w:val="21"/>
              </w:rPr>
            </w:pPr>
          </w:p>
        </w:tc>
        <w:tc>
          <w:tcPr>
            <w:tcW w:w="23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等线"/>
                <w:b/>
                <w:bCs/>
                <w:color w:val="000000"/>
                <w:szCs w:val="21"/>
              </w:rPr>
            </w:pPr>
          </w:p>
        </w:tc>
      </w:tr>
      <w:tr>
        <w:tblPrEx>
          <w:tblCellMar>
            <w:top w:w="0" w:type="dxa"/>
            <w:left w:w="108" w:type="dxa"/>
            <w:bottom w:w="0" w:type="dxa"/>
            <w:right w:w="108" w:type="dxa"/>
          </w:tblCellMar>
        </w:tblPrEx>
        <w:trPr>
          <w:cantSplit/>
          <w:trHeight w:val="270" w:hRule="atLeast"/>
          <w:jc w:val="center"/>
        </w:trPr>
        <w:tc>
          <w:tcPr>
            <w:tcW w:w="936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szCs w:val="21"/>
              </w:rPr>
            </w:pPr>
            <w:r>
              <w:rPr>
                <w:rFonts w:hint="eastAsia" w:ascii="Times New Roman" w:hAnsi="Times New Roman"/>
                <w:b/>
                <w:bCs/>
                <w:color w:val="000000"/>
                <w:kern w:val="0"/>
                <w:szCs w:val="21"/>
              </w:rPr>
              <w:t>备注：</w:t>
            </w:r>
            <w:r>
              <w:rPr>
                <w:rFonts w:hint="eastAsia" w:ascii="Times New Roman" w:hAnsi="Times New Roman"/>
                <w:szCs w:val="21"/>
              </w:rPr>
              <w:t>1.福建省加上了安徽省转让的</w:t>
            </w:r>
            <w:r>
              <w:rPr>
                <w:rFonts w:ascii="Times New Roman" w:hAnsi="Times New Roman"/>
                <w:szCs w:val="21"/>
              </w:rPr>
              <w:t>30</w:t>
            </w:r>
            <w:r>
              <w:rPr>
                <w:rFonts w:hint="eastAsia" w:ascii="Times New Roman" w:hAnsi="Times New Roman"/>
                <w:szCs w:val="21"/>
              </w:rPr>
              <w:t>亿千瓦时非水电可再生能源超额消纳量；</w:t>
            </w:r>
          </w:p>
          <w:p>
            <w:pPr>
              <w:jc w:val="left"/>
              <w:rPr>
                <w:rFonts w:ascii="Times New Roman" w:hAnsi="Times New Roman"/>
                <w:b/>
                <w:bCs/>
                <w:szCs w:val="21"/>
              </w:rPr>
            </w:pPr>
            <w:r>
              <w:rPr>
                <w:rFonts w:hint="eastAsia" w:ascii="Times New Roman" w:hAnsi="Times New Roman"/>
                <w:szCs w:val="21"/>
              </w:rPr>
              <w:t xml:space="preserve">      2.云南省加上了广东省转让的</w:t>
            </w:r>
            <w:r>
              <w:rPr>
                <w:rFonts w:ascii="Times New Roman" w:hAnsi="Times New Roman"/>
                <w:szCs w:val="21"/>
              </w:rPr>
              <w:t>28</w:t>
            </w:r>
            <w:r>
              <w:rPr>
                <w:rFonts w:hint="eastAsia" w:ascii="Times New Roman" w:hAnsi="Times New Roman"/>
                <w:szCs w:val="21"/>
              </w:rPr>
              <w:t>亿千瓦时非水电可再生能源超额消纳量。</w:t>
            </w:r>
          </w:p>
        </w:tc>
      </w:tr>
    </w:tbl>
    <w:p>
      <w:pPr>
        <w:spacing w:line="600" w:lineRule="exact"/>
        <w:ind w:firstLine="600" w:firstLineChars="200"/>
        <w:rPr>
          <w:rFonts w:ascii="Times New Roman" w:hAnsi="Times New Roman" w:eastAsia="方正仿宋_GBK"/>
          <w:sz w:val="30"/>
          <w:szCs w:val="30"/>
        </w:rPr>
      </w:pPr>
    </w:p>
    <w:p>
      <w:pPr>
        <w:spacing w:line="600" w:lineRule="exact"/>
        <w:ind w:firstLine="600" w:firstLineChars="200"/>
        <w:rPr>
          <w:rFonts w:ascii="Times New Roman" w:hAnsi="Times New Roman" w:eastAsia="方正仿宋_GBK"/>
          <w:sz w:val="30"/>
          <w:szCs w:val="30"/>
        </w:rPr>
        <w:sectPr>
          <w:footerReference r:id="rId3" w:type="default"/>
          <w:footerReference r:id="rId4" w:type="even"/>
          <w:pgSz w:w="11906" w:h="16838"/>
          <w:pgMar w:top="1440" w:right="1797" w:bottom="1440" w:left="1797" w:header="851" w:footer="1418" w:gutter="0"/>
          <w:pgNumType w:fmt="numberInDash" w:start="1"/>
          <w:cols w:space="720" w:num="1"/>
          <w:docGrid w:type="lines" w:linePitch="312" w:charSpace="0"/>
        </w:sectPr>
      </w:pPr>
    </w:p>
    <w:p>
      <w:pPr>
        <w:keepNext/>
        <w:keepLines/>
        <w:snapToGrid w:val="0"/>
        <w:spacing w:line="600" w:lineRule="exact"/>
        <w:ind w:firstLine="600" w:firstLineChars="200"/>
        <w:outlineLvl w:val="0"/>
        <w:rPr>
          <w:rFonts w:ascii="Times New Roman" w:hAnsi="Times New Roman" w:eastAsia="方正黑体_GBK"/>
          <w:bCs/>
          <w:kern w:val="44"/>
          <w:sz w:val="30"/>
          <w:szCs w:val="30"/>
        </w:rPr>
      </w:pPr>
      <w:r>
        <w:rPr>
          <w:rFonts w:hint="eastAsia" w:ascii="Times New Roman" w:hAnsi="Times New Roman" w:eastAsia="方正黑体_GBK"/>
          <w:bCs/>
          <w:kern w:val="44"/>
          <w:sz w:val="30"/>
          <w:szCs w:val="30"/>
        </w:rPr>
        <w:t>三</w:t>
      </w:r>
      <w:r>
        <w:rPr>
          <w:rFonts w:ascii="Times New Roman" w:hAnsi="Times New Roman" w:eastAsia="方正黑体_GBK"/>
          <w:bCs/>
          <w:kern w:val="44"/>
          <w:sz w:val="30"/>
          <w:szCs w:val="30"/>
        </w:rPr>
        <w:t>、</w:t>
      </w:r>
      <w:r>
        <w:rPr>
          <w:rFonts w:hint="eastAsia" w:ascii="Times New Roman" w:hAnsi="Times New Roman" w:eastAsia="方正黑体_GBK"/>
          <w:bCs/>
          <w:kern w:val="44"/>
          <w:sz w:val="30"/>
          <w:szCs w:val="30"/>
        </w:rPr>
        <w:t>全国重点地区</w:t>
      </w:r>
      <w:r>
        <w:rPr>
          <w:rFonts w:ascii="Times New Roman" w:hAnsi="Times New Roman" w:eastAsia="方正黑体_GBK"/>
          <w:bCs/>
          <w:kern w:val="44"/>
          <w:sz w:val="30"/>
          <w:szCs w:val="30"/>
        </w:rPr>
        <w:t>风电、光伏</w:t>
      </w:r>
      <w:r>
        <w:rPr>
          <w:rFonts w:hint="eastAsia" w:ascii="Times New Roman" w:hAnsi="Times New Roman" w:eastAsia="方正黑体_GBK"/>
          <w:bCs/>
          <w:kern w:val="44"/>
          <w:sz w:val="30"/>
          <w:szCs w:val="30"/>
        </w:rPr>
        <w:t>年可利用小时数情况</w:t>
      </w:r>
    </w:p>
    <w:p>
      <w:pPr>
        <w:widowControl/>
        <w:spacing w:before="120" w:after="120" w:line="600" w:lineRule="exact"/>
        <w:jc w:val="center"/>
        <w:rPr>
          <w:rFonts w:ascii="Times New Roman" w:hAnsi="Times New Roman" w:eastAsia="黑体"/>
          <w:color w:val="000000"/>
          <w:kern w:val="0"/>
          <w:sz w:val="28"/>
          <w:szCs w:val="20"/>
        </w:rPr>
      </w:pPr>
      <w:r>
        <w:rPr>
          <w:rFonts w:ascii="Times New Roman" w:hAnsi="黑体" w:eastAsia="黑体"/>
          <w:color w:val="000000"/>
          <w:kern w:val="0"/>
          <w:sz w:val="28"/>
          <w:szCs w:val="20"/>
        </w:rPr>
        <w:t>表</w:t>
      </w:r>
      <w:r>
        <w:rPr>
          <w:rFonts w:hint="eastAsia" w:ascii="Times New Roman" w:hAnsi="黑体" w:eastAsia="黑体"/>
          <w:color w:val="000000"/>
          <w:kern w:val="0"/>
          <w:sz w:val="28"/>
          <w:szCs w:val="20"/>
        </w:rPr>
        <w:t>3</w:t>
      </w:r>
      <w:r>
        <w:rPr>
          <w:rFonts w:ascii="Times New Roman" w:hAnsi="黑体" w:eastAsia="黑体"/>
          <w:color w:val="000000"/>
          <w:kern w:val="0"/>
          <w:sz w:val="28"/>
          <w:szCs w:val="20"/>
        </w:rPr>
        <w:t xml:space="preserve">  2021年</w:t>
      </w:r>
      <w:r>
        <w:rPr>
          <w:rFonts w:hint="eastAsia" w:ascii="Times New Roman" w:hAnsi="黑体" w:eastAsia="黑体"/>
          <w:color w:val="000000"/>
          <w:kern w:val="0"/>
          <w:sz w:val="28"/>
          <w:szCs w:val="20"/>
        </w:rPr>
        <w:t>全国</w:t>
      </w:r>
      <w:r>
        <w:rPr>
          <w:rFonts w:ascii="Times New Roman" w:hAnsi="黑体" w:eastAsia="黑体"/>
          <w:color w:val="000000"/>
          <w:kern w:val="0"/>
          <w:sz w:val="28"/>
          <w:szCs w:val="20"/>
        </w:rPr>
        <w:t>风电</w:t>
      </w:r>
      <w:r>
        <w:rPr>
          <w:rFonts w:hint="eastAsia" w:ascii="Times New Roman" w:hAnsi="黑体" w:eastAsia="黑体"/>
          <w:color w:val="000000"/>
          <w:kern w:val="0"/>
          <w:sz w:val="28"/>
          <w:szCs w:val="20"/>
        </w:rPr>
        <w:t>重点地区年利用小时数情况</w:t>
      </w:r>
    </w:p>
    <w:tbl>
      <w:tblPr>
        <w:tblStyle w:val="13"/>
        <w:tblW w:w="5000" w:type="pct"/>
        <w:jc w:val="center"/>
        <w:tblLayout w:type="fixed"/>
        <w:tblCellMar>
          <w:top w:w="0" w:type="dxa"/>
          <w:left w:w="108" w:type="dxa"/>
          <w:bottom w:w="0" w:type="dxa"/>
          <w:right w:w="108" w:type="dxa"/>
        </w:tblCellMar>
      </w:tblPr>
      <w:tblGrid>
        <w:gridCol w:w="927"/>
        <w:gridCol w:w="885"/>
        <w:gridCol w:w="2695"/>
        <w:gridCol w:w="1419"/>
        <w:gridCol w:w="1417"/>
        <w:gridCol w:w="1185"/>
      </w:tblGrid>
      <w:tr>
        <w:tblPrEx>
          <w:tblCellMar>
            <w:top w:w="0" w:type="dxa"/>
            <w:left w:w="108" w:type="dxa"/>
            <w:bottom w:w="0" w:type="dxa"/>
            <w:right w:w="108" w:type="dxa"/>
          </w:tblCellMar>
        </w:tblPrEx>
        <w:trPr>
          <w:trHeight w:val="400" w:hRule="atLeast"/>
          <w:jc w:val="center"/>
        </w:trPr>
        <w:tc>
          <w:tcPr>
            <w:tcW w:w="54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省（区）</w:t>
            </w:r>
          </w:p>
        </w:tc>
        <w:tc>
          <w:tcPr>
            <w:tcW w:w="519"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资源区</w:t>
            </w:r>
          </w:p>
        </w:tc>
        <w:tc>
          <w:tcPr>
            <w:tcW w:w="1580"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地区</w:t>
            </w:r>
          </w:p>
        </w:tc>
        <w:tc>
          <w:tcPr>
            <w:tcW w:w="832"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hint="eastAsia" w:ascii="Times New Roman" w:hAnsi="Times New Roman"/>
                <w:b/>
                <w:bCs/>
                <w:kern w:val="0"/>
                <w:szCs w:val="21"/>
              </w:rPr>
              <w:t>2020年实际利用小时数</w:t>
            </w:r>
          </w:p>
        </w:tc>
        <w:tc>
          <w:tcPr>
            <w:tcW w:w="83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2021年实际利用小时数</w:t>
            </w:r>
          </w:p>
        </w:tc>
        <w:tc>
          <w:tcPr>
            <w:tcW w:w="695"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hint="eastAsia" w:ascii="Times New Roman" w:hAnsi="Times New Roman"/>
                <w:b/>
                <w:bCs/>
                <w:kern w:val="0"/>
                <w:szCs w:val="21"/>
              </w:rPr>
              <w:t>实际利用小时数增加值</w:t>
            </w:r>
          </w:p>
        </w:tc>
      </w:tr>
      <w:tr>
        <w:tblPrEx>
          <w:tblCellMar>
            <w:top w:w="0" w:type="dxa"/>
            <w:left w:w="108" w:type="dxa"/>
            <w:bottom w:w="0" w:type="dxa"/>
            <w:right w:w="108" w:type="dxa"/>
          </w:tblCellMar>
        </w:tblPrEx>
        <w:trPr>
          <w:trHeight w:val="738" w:hRule="exact"/>
          <w:jc w:val="center"/>
        </w:trPr>
        <w:tc>
          <w:tcPr>
            <w:tcW w:w="5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内蒙古</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除赤峰市、通辽市、兴安盟、呼伦贝尔市以外其他地区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2318</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2626</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308</w:t>
            </w:r>
          </w:p>
        </w:tc>
      </w:tr>
      <w:tr>
        <w:tblPrEx>
          <w:tblCellMar>
            <w:top w:w="0" w:type="dxa"/>
            <w:left w:w="108" w:type="dxa"/>
            <w:bottom w:w="0" w:type="dxa"/>
            <w:right w:w="108" w:type="dxa"/>
          </w:tblCellMar>
        </w:tblPrEx>
        <w:trPr>
          <w:trHeight w:val="680" w:hRule="exact"/>
          <w:jc w:val="center"/>
        </w:trPr>
        <w:tc>
          <w:tcPr>
            <w:tcW w:w="54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赤峰市、通辽市、兴安盟、呼伦贝尔市</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2378</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2407</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29</w:t>
            </w:r>
          </w:p>
        </w:tc>
      </w:tr>
      <w:tr>
        <w:tblPrEx>
          <w:tblCellMar>
            <w:top w:w="0" w:type="dxa"/>
            <w:left w:w="108" w:type="dxa"/>
            <w:bottom w:w="0" w:type="dxa"/>
            <w:right w:w="108" w:type="dxa"/>
          </w:tblCellMar>
        </w:tblPrEx>
        <w:trPr>
          <w:trHeight w:val="1028" w:hRule="exact"/>
          <w:jc w:val="center"/>
        </w:trPr>
        <w:tc>
          <w:tcPr>
            <w:tcW w:w="5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新疆</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乌鲁木齐市、伊犁哈萨克族自治州、克拉玛依市、石河子市</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2616</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2781</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165</w:t>
            </w:r>
          </w:p>
        </w:tc>
      </w:tr>
      <w:tr>
        <w:tblPrEx>
          <w:tblCellMar>
            <w:top w:w="0" w:type="dxa"/>
            <w:left w:w="108" w:type="dxa"/>
            <w:bottom w:w="0" w:type="dxa"/>
            <w:right w:w="108" w:type="dxa"/>
          </w:tblCellMar>
        </w:tblPrEx>
        <w:trPr>
          <w:trHeight w:val="1127" w:hRule="exact"/>
          <w:jc w:val="center"/>
        </w:trPr>
        <w:tc>
          <w:tcPr>
            <w:tcW w:w="54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III类</w:t>
            </w:r>
          </w:p>
        </w:tc>
        <w:tc>
          <w:tcPr>
            <w:tcW w:w="1580"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除乌鲁木齐市、伊犁哈萨克族自治州、克拉玛依市、石河子市以外其他地区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2178</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2241</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63</w:t>
            </w:r>
          </w:p>
        </w:tc>
      </w:tr>
      <w:tr>
        <w:tblPrEx>
          <w:tblCellMar>
            <w:top w:w="0" w:type="dxa"/>
            <w:left w:w="108" w:type="dxa"/>
            <w:bottom w:w="0" w:type="dxa"/>
            <w:right w:w="108" w:type="dxa"/>
          </w:tblCellMar>
        </w:tblPrEx>
        <w:trPr>
          <w:trHeight w:val="680" w:hRule="exact"/>
          <w:jc w:val="center"/>
        </w:trPr>
        <w:tc>
          <w:tcPr>
            <w:tcW w:w="5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甘肃</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嘉峪关市、酒泉市</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2016</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2153</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137</w:t>
            </w:r>
          </w:p>
        </w:tc>
      </w:tr>
      <w:tr>
        <w:tblPrEx>
          <w:tblCellMar>
            <w:top w:w="0" w:type="dxa"/>
            <w:left w:w="108" w:type="dxa"/>
            <w:bottom w:w="0" w:type="dxa"/>
            <w:right w:w="108" w:type="dxa"/>
          </w:tblCellMar>
        </w:tblPrEx>
        <w:trPr>
          <w:trHeight w:val="680" w:hRule="exact"/>
          <w:jc w:val="center"/>
        </w:trPr>
        <w:tc>
          <w:tcPr>
            <w:tcW w:w="54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除嘉峪关市、酒泉市以外其他地区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1638</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1861</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223</w:t>
            </w:r>
          </w:p>
        </w:tc>
      </w:tr>
      <w:tr>
        <w:tblPrEx>
          <w:tblCellMar>
            <w:top w:w="0" w:type="dxa"/>
            <w:left w:w="108" w:type="dxa"/>
            <w:bottom w:w="0" w:type="dxa"/>
            <w:right w:w="108" w:type="dxa"/>
          </w:tblCellMar>
        </w:tblPrEx>
        <w:trPr>
          <w:trHeight w:val="680" w:hRule="exact"/>
          <w:jc w:val="center"/>
        </w:trPr>
        <w:tc>
          <w:tcPr>
            <w:tcW w:w="543"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宁夏</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宁夏</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1653</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2018</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365</w:t>
            </w:r>
          </w:p>
        </w:tc>
      </w:tr>
      <w:tr>
        <w:tblPrEx>
          <w:tblCellMar>
            <w:top w:w="0" w:type="dxa"/>
            <w:left w:w="108" w:type="dxa"/>
            <w:bottom w:w="0" w:type="dxa"/>
            <w:right w:w="108" w:type="dxa"/>
          </w:tblCellMar>
        </w:tblPrEx>
        <w:trPr>
          <w:trHeight w:val="1074" w:hRule="exact"/>
          <w:jc w:val="center"/>
        </w:trPr>
        <w:tc>
          <w:tcPr>
            <w:tcW w:w="5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黑龙江</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鸡西市、双鸭山市、七台河市、绥化市、伊春市、大兴安岭地区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2255</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2063</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-192</w:t>
            </w:r>
          </w:p>
        </w:tc>
      </w:tr>
      <w:tr>
        <w:tblPrEx>
          <w:tblCellMar>
            <w:top w:w="0" w:type="dxa"/>
            <w:left w:w="108" w:type="dxa"/>
            <w:bottom w:w="0" w:type="dxa"/>
            <w:right w:w="108" w:type="dxa"/>
          </w:tblCellMar>
        </w:tblPrEx>
        <w:trPr>
          <w:trHeight w:val="680" w:hRule="exact"/>
          <w:jc w:val="center"/>
        </w:trPr>
        <w:tc>
          <w:tcPr>
            <w:tcW w:w="54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黑龙江省其他地区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2270</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2254</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-16</w:t>
            </w:r>
          </w:p>
        </w:tc>
      </w:tr>
      <w:tr>
        <w:tblPrEx>
          <w:tblCellMar>
            <w:top w:w="0" w:type="dxa"/>
            <w:left w:w="108" w:type="dxa"/>
            <w:bottom w:w="0" w:type="dxa"/>
            <w:right w:w="108" w:type="dxa"/>
          </w:tblCellMar>
        </w:tblPrEx>
        <w:trPr>
          <w:trHeight w:val="680" w:hRule="exact"/>
          <w:jc w:val="center"/>
        </w:trPr>
        <w:tc>
          <w:tcPr>
            <w:tcW w:w="5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吉林</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白城市、松原市</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2302</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2280</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-22</w:t>
            </w:r>
          </w:p>
        </w:tc>
      </w:tr>
      <w:tr>
        <w:tblPrEx>
          <w:tblCellMar>
            <w:top w:w="0" w:type="dxa"/>
            <w:left w:w="108" w:type="dxa"/>
            <w:bottom w:w="0" w:type="dxa"/>
            <w:right w:w="108" w:type="dxa"/>
          </w:tblCellMar>
        </w:tblPrEx>
        <w:trPr>
          <w:trHeight w:val="680" w:hRule="exact"/>
          <w:jc w:val="center"/>
        </w:trPr>
        <w:tc>
          <w:tcPr>
            <w:tcW w:w="54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吉林省其他地区</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2355</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2427</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72</w:t>
            </w:r>
          </w:p>
        </w:tc>
      </w:tr>
      <w:tr>
        <w:tblPrEx>
          <w:tblCellMar>
            <w:top w:w="0" w:type="dxa"/>
            <w:left w:w="108" w:type="dxa"/>
            <w:bottom w:w="0" w:type="dxa"/>
            <w:right w:w="108" w:type="dxa"/>
          </w:tblCellMar>
        </w:tblPrEx>
        <w:trPr>
          <w:trHeight w:val="680" w:hRule="exact"/>
          <w:jc w:val="center"/>
        </w:trPr>
        <w:tc>
          <w:tcPr>
            <w:tcW w:w="543"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辽宁</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辽宁</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2243</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2293</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50</w:t>
            </w:r>
          </w:p>
        </w:tc>
      </w:tr>
      <w:tr>
        <w:tblPrEx>
          <w:tblCellMar>
            <w:top w:w="0" w:type="dxa"/>
            <w:left w:w="108" w:type="dxa"/>
            <w:bottom w:w="0" w:type="dxa"/>
            <w:right w:w="108" w:type="dxa"/>
          </w:tblCellMar>
        </w:tblPrEx>
        <w:trPr>
          <w:trHeight w:val="680" w:hRule="exact"/>
          <w:jc w:val="center"/>
        </w:trPr>
        <w:tc>
          <w:tcPr>
            <w:tcW w:w="54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河北</w:t>
            </w:r>
          </w:p>
        </w:tc>
        <w:tc>
          <w:tcPr>
            <w:tcW w:w="51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张家口市</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2032</w:t>
            </w:r>
          </w:p>
        </w:tc>
        <w:tc>
          <w:tcPr>
            <w:tcW w:w="83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1995</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szCs w:val="21"/>
              </w:rPr>
              <w:t>-37</w:t>
            </w:r>
          </w:p>
        </w:tc>
      </w:tr>
      <w:tr>
        <w:tblPrEx>
          <w:tblCellMar>
            <w:top w:w="0" w:type="dxa"/>
            <w:left w:w="108" w:type="dxa"/>
            <w:bottom w:w="0" w:type="dxa"/>
            <w:right w:w="108" w:type="dxa"/>
          </w:tblCellMar>
        </w:tblPrEx>
        <w:trPr>
          <w:trHeight w:val="680" w:hRule="exact"/>
          <w:jc w:val="center"/>
        </w:trPr>
        <w:tc>
          <w:tcPr>
            <w:tcW w:w="543"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山西</w:t>
            </w:r>
          </w:p>
        </w:tc>
        <w:tc>
          <w:tcPr>
            <w:tcW w:w="51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IV类</w:t>
            </w:r>
          </w:p>
        </w:tc>
        <w:tc>
          <w:tcPr>
            <w:tcW w:w="158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忻州市、朔州市、大同市</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1750</w:t>
            </w:r>
          </w:p>
        </w:tc>
        <w:tc>
          <w:tcPr>
            <w:tcW w:w="83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2317</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567</w:t>
            </w:r>
          </w:p>
        </w:tc>
      </w:tr>
    </w:tbl>
    <w:p>
      <w:pPr>
        <w:widowControl/>
        <w:spacing w:before="120" w:after="120" w:line="600" w:lineRule="exact"/>
        <w:jc w:val="center"/>
        <w:rPr>
          <w:rFonts w:ascii="Times New Roman" w:hAnsi="黑体" w:eastAsia="黑体"/>
          <w:color w:val="000000"/>
          <w:kern w:val="0"/>
          <w:sz w:val="28"/>
          <w:szCs w:val="20"/>
        </w:rPr>
      </w:pPr>
    </w:p>
    <w:p>
      <w:pPr>
        <w:widowControl/>
        <w:spacing w:before="120" w:after="120" w:line="600" w:lineRule="exact"/>
        <w:jc w:val="center"/>
        <w:rPr>
          <w:rFonts w:ascii="Times New Roman" w:hAnsi="黑体" w:eastAsia="黑体"/>
          <w:color w:val="000000"/>
          <w:kern w:val="0"/>
          <w:sz w:val="28"/>
          <w:szCs w:val="20"/>
        </w:rPr>
      </w:pPr>
      <w:r>
        <w:rPr>
          <w:rFonts w:ascii="Times New Roman" w:hAnsi="黑体" w:eastAsia="黑体"/>
          <w:color w:val="000000"/>
          <w:kern w:val="0"/>
          <w:sz w:val="28"/>
          <w:szCs w:val="20"/>
        </w:rPr>
        <w:t>表</w:t>
      </w:r>
      <w:r>
        <w:rPr>
          <w:rFonts w:hint="eastAsia" w:ascii="Times New Roman" w:hAnsi="黑体" w:eastAsia="黑体"/>
          <w:color w:val="000000"/>
          <w:kern w:val="0"/>
          <w:sz w:val="28"/>
          <w:szCs w:val="20"/>
        </w:rPr>
        <w:t>4</w:t>
      </w:r>
      <w:r>
        <w:rPr>
          <w:rFonts w:ascii="Times New Roman" w:hAnsi="黑体" w:eastAsia="黑体"/>
          <w:color w:val="000000"/>
          <w:kern w:val="0"/>
          <w:sz w:val="28"/>
          <w:szCs w:val="20"/>
        </w:rPr>
        <w:t xml:space="preserve">  2021年</w:t>
      </w:r>
      <w:r>
        <w:rPr>
          <w:rFonts w:hint="eastAsia" w:ascii="Times New Roman" w:hAnsi="黑体" w:eastAsia="黑体"/>
          <w:color w:val="000000"/>
          <w:kern w:val="0"/>
          <w:sz w:val="28"/>
          <w:szCs w:val="20"/>
        </w:rPr>
        <w:t>全国光伏重点地区年利用小时数情况</w:t>
      </w:r>
    </w:p>
    <w:tbl>
      <w:tblPr>
        <w:tblStyle w:val="13"/>
        <w:tblW w:w="5000" w:type="pct"/>
        <w:jc w:val="center"/>
        <w:tblLayout w:type="fixed"/>
        <w:tblCellMar>
          <w:top w:w="0" w:type="dxa"/>
          <w:left w:w="108" w:type="dxa"/>
          <w:bottom w:w="0" w:type="dxa"/>
          <w:right w:w="108" w:type="dxa"/>
        </w:tblCellMar>
      </w:tblPr>
      <w:tblGrid>
        <w:gridCol w:w="960"/>
        <w:gridCol w:w="851"/>
        <w:gridCol w:w="2697"/>
        <w:gridCol w:w="1416"/>
        <w:gridCol w:w="1419"/>
        <w:gridCol w:w="1185"/>
      </w:tblGrid>
      <w:tr>
        <w:tblPrEx>
          <w:tblCellMar>
            <w:top w:w="0" w:type="dxa"/>
            <w:left w:w="108" w:type="dxa"/>
            <w:bottom w:w="0" w:type="dxa"/>
            <w:right w:w="108" w:type="dxa"/>
          </w:tblCellMar>
        </w:tblPrEx>
        <w:trPr>
          <w:trHeight w:val="753" w:hRule="atLeast"/>
          <w:tblHeader/>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省（区）</w:t>
            </w:r>
          </w:p>
        </w:tc>
        <w:tc>
          <w:tcPr>
            <w:tcW w:w="499"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资源区</w:t>
            </w:r>
          </w:p>
        </w:tc>
        <w:tc>
          <w:tcPr>
            <w:tcW w:w="1581"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kern w:val="0"/>
                <w:szCs w:val="21"/>
              </w:rPr>
            </w:pPr>
            <w:r>
              <w:rPr>
                <w:rFonts w:ascii="Times New Roman" w:hAnsi="Times New Roman"/>
                <w:b/>
                <w:bCs/>
                <w:kern w:val="0"/>
                <w:szCs w:val="21"/>
              </w:rPr>
              <w:t>地区</w:t>
            </w:r>
          </w:p>
        </w:tc>
        <w:tc>
          <w:tcPr>
            <w:tcW w:w="83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hint="eastAsia" w:ascii="Times New Roman" w:hAnsi="Times New Roman"/>
                <w:b/>
                <w:bCs/>
                <w:kern w:val="0"/>
                <w:szCs w:val="21"/>
              </w:rPr>
              <w:t>2020年实际利用小时数</w:t>
            </w:r>
          </w:p>
        </w:tc>
        <w:tc>
          <w:tcPr>
            <w:tcW w:w="832"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20</w:t>
            </w:r>
            <w:r>
              <w:rPr>
                <w:rFonts w:hint="eastAsia" w:ascii="Times New Roman" w:hAnsi="Times New Roman"/>
                <w:b/>
                <w:bCs/>
                <w:kern w:val="0"/>
                <w:szCs w:val="21"/>
              </w:rPr>
              <w:t>2</w:t>
            </w:r>
            <w:r>
              <w:rPr>
                <w:rFonts w:ascii="Times New Roman" w:hAnsi="Times New Roman"/>
                <w:b/>
                <w:bCs/>
                <w:kern w:val="0"/>
                <w:szCs w:val="21"/>
              </w:rPr>
              <w:t>1年实际利用小时数</w:t>
            </w:r>
          </w:p>
        </w:tc>
        <w:tc>
          <w:tcPr>
            <w:tcW w:w="695"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hint="eastAsia" w:ascii="Times New Roman" w:hAnsi="Times New Roman"/>
                <w:b/>
                <w:bCs/>
                <w:kern w:val="0"/>
                <w:szCs w:val="21"/>
              </w:rPr>
              <w:t>实际利用小时数增加值</w:t>
            </w:r>
          </w:p>
        </w:tc>
      </w:tr>
      <w:tr>
        <w:tblPrEx>
          <w:tblCellMar>
            <w:top w:w="0" w:type="dxa"/>
            <w:left w:w="108" w:type="dxa"/>
            <w:bottom w:w="0" w:type="dxa"/>
            <w:right w:w="108" w:type="dxa"/>
          </w:tblCellMar>
        </w:tblPrEx>
        <w:trPr>
          <w:trHeight w:val="864" w:hRule="atLeast"/>
          <w:jc w:val="center"/>
        </w:trPr>
        <w:tc>
          <w:tcPr>
            <w:tcW w:w="56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内蒙古</w:t>
            </w:r>
          </w:p>
        </w:tc>
        <w:tc>
          <w:tcPr>
            <w:tcW w:w="49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1"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除赤峰市、通辽市、兴安盟、呼伦贝尔市以外其他地区</w:t>
            </w:r>
          </w:p>
        </w:tc>
        <w:tc>
          <w:tcPr>
            <w:tcW w:w="83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rPr>
              <w:t>1626</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1568</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rPr>
              <w:t>-58</w:t>
            </w:r>
          </w:p>
        </w:tc>
      </w:tr>
      <w:tr>
        <w:tblPrEx>
          <w:tblCellMar>
            <w:top w:w="0" w:type="dxa"/>
            <w:left w:w="108" w:type="dxa"/>
            <w:bottom w:w="0" w:type="dxa"/>
            <w:right w:w="108" w:type="dxa"/>
          </w:tblCellMar>
        </w:tblPrEx>
        <w:trPr>
          <w:trHeight w:val="848" w:hRule="atLeast"/>
          <w:jc w:val="center"/>
        </w:trPr>
        <w:tc>
          <w:tcPr>
            <w:tcW w:w="5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p>
        </w:tc>
        <w:tc>
          <w:tcPr>
            <w:tcW w:w="49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赤峰市、通辽市、兴安盟、呼伦贝尔市</w:t>
            </w:r>
          </w:p>
        </w:tc>
        <w:tc>
          <w:tcPr>
            <w:tcW w:w="830"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rPr>
              <w:t>1619</w:t>
            </w:r>
          </w:p>
        </w:tc>
        <w:tc>
          <w:tcPr>
            <w:tcW w:w="832"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1562</w:t>
            </w:r>
          </w:p>
        </w:tc>
        <w:tc>
          <w:tcPr>
            <w:tcW w:w="695" w:type="pct"/>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rPr>
              <w:t>-57</w:t>
            </w:r>
          </w:p>
        </w:tc>
      </w:tr>
      <w:tr>
        <w:tblPrEx>
          <w:tblCellMar>
            <w:top w:w="0" w:type="dxa"/>
            <w:left w:w="108" w:type="dxa"/>
            <w:bottom w:w="0" w:type="dxa"/>
            <w:right w:w="108" w:type="dxa"/>
          </w:tblCellMar>
        </w:tblPrEx>
        <w:trPr>
          <w:trHeight w:val="846" w:hRule="atLeast"/>
          <w:jc w:val="center"/>
        </w:trPr>
        <w:tc>
          <w:tcPr>
            <w:tcW w:w="563"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新疆</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哈密、塔城、阿勒泰、</w:t>
            </w:r>
          </w:p>
          <w:p>
            <w:pPr>
              <w:widowControl/>
              <w:jc w:val="center"/>
              <w:rPr>
                <w:rFonts w:ascii="Times New Roman" w:hAnsi="Times New Roman"/>
                <w:color w:val="000000"/>
                <w:kern w:val="0"/>
                <w:szCs w:val="21"/>
              </w:rPr>
            </w:pPr>
            <w:r>
              <w:rPr>
                <w:rFonts w:ascii="Times New Roman" w:hAnsi="Times New Roman"/>
                <w:color w:val="000000"/>
                <w:kern w:val="0"/>
                <w:szCs w:val="21"/>
              </w:rPr>
              <w:t>克拉玛依</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1655</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1597</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-58</w:t>
            </w:r>
          </w:p>
        </w:tc>
      </w:tr>
      <w:tr>
        <w:tblPrEx>
          <w:tblCellMar>
            <w:top w:w="0" w:type="dxa"/>
            <w:left w:w="108" w:type="dxa"/>
            <w:bottom w:w="0" w:type="dxa"/>
            <w:right w:w="108" w:type="dxa"/>
          </w:tblCellMar>
        </w:tblPrEx>
        <w:trPr>
          <w:trHeight w:val="680" w:hRule="atLeast"/>
          <w:jc w:val="center"/>
        </w:trPr>
        <w:tc>
          <w:tcPr>
            <w:tcW w:w="56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1414</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1455</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41</w:t>
            </w:r>
          </w:p>
        </w:tc>
      </w:tr>
      <w:tr>
        <w:tblPrEx>
          <w:tblCellMar>
            <w:top w:w="0" w:type="dxa"/>
            <w:left w:w="108" w:type="dxa"/>
            <w:bottom w:w="0" w:type="dxa"/>
            <w:right w:w="108" w:type="dxa"/>
          </w:tblCellMar>
        </w:tblPrEx>
        <w:trPr>
          <w:trHeight w:val="880" w:hRule="atLeast"/>
          <w:jc w:val="center"/>
        </w:trPr>
        <w:tc>
          <w:tcPr>
            <w:tcW w:w="563"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甘肃</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嘉峪关、武威、张掖、酒泉、敦煌、金昌</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1535</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1562</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27</w:t>
            </w:r>
          </w:p>
        </w:tc>
      </w:tr>
      <w:tr>
        <w:tblPrEx>
          <w:tblCellMar>
            <w:top w:w="0" w:type="dxa"/>
            <w:left w:w="108" w:type="dxa"/>
            <w:bottom w:w="0" w:type="dxa"/>
            <w:right w:w="108" w:type="dxa"/>
          </w:tblCellMar>
        </w:tblPrEx>
        <w:trPr>
          <w:trHeight w:val="680" w:hRule="atLeast"/>
          <w:jc w:val="center"/>
        </w:trPr>
        <w:tc>
          <w:tcPr>
            <w:tcW w:w="56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1263</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1389</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126</w:t>
            </w:r>
          </w:p>
        </w:tc>
      </w:tr>
      <w:tr>
        <w:tblPrEx>
          <w:tblCellMar>
            <w:top w:w="0" w:type="dxa"/>
            <w:left w:w="108" w:type="dxa"/>
            <w:bottom w:w="0" w:type="dxa"/>
            <w:right w:w="108" w:type="dxa"/>
          </w:tblCellMar>
        </w:tblPrEx>
        <w:trPr>
          <w:trHeight w:val="680" w:hRule="atLeast"/>
          <w:jc w:val="center"/>
        </w:trPr>
        <w:tc>
          <w:tcPr>
            <w:tcW w:w="563"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青海</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海西</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1436</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1474</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38</w:t>
            </w:r>
          </w:p>
        </w:tc>
      </w:tr>
      <w:tr>
        <w:tblPrEx>
          <w:tblCellMar>
            <w:top w:w="0" w:type="dxa"/>
            <w:left w:w="108" w:type="dxa"/>
            <w:bottom w:w="0" w:type="dxa"/>
            <w:right w:w="108" w:type="dxa"/>
          </w:tblCellMar>
        </w:tblPrEx>
        <w:trPr>
          <w:trHeight w:val="680" w:hRule="atLeast"/>
          <w:jc w:val="center"/>
        </w:trPr>
        <w:tc>
          <w:tcPr>
            <w:tcW w:w="56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1387</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1248</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-139</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宁夏</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宁夏</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1390</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1471</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81</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陕西</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榆林、延安</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1466</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1455</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-11</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黑龙江</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黑龙江</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1507</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1503</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-4</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吉林</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吉林</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1477</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1537</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60</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辽宁</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辽宁</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1388</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1327</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-61</w:t>
            </w:r>
          </w:p>
        </w:tc>
      </w:tr>
      <w:tr>
        <w:tblPrEx>
          <w:tblCellMar>
            <w:top w:w="0" w:type="dxa"/>
            <w:left w:w="108" w:type="dxa"/>
            <w:bottom w:w="0" w:type="dxa"/>
            <w:right w:w="108" w:type="dxa"/>
          </w:tblCellMar>
        </w:tblPrEx>
        <w:trPr>
          <w:trHeight w:val="856"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河北</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承德、张家口、唐山、</w:t>
            </w:r>
          </w:p>
          <w:p>
            <w:pPr>
              <w:widowControl/>
              <w:jc w:val="center"/>
              <w:rPr>
                <w:rFonts w:ascii="Times New Roman" w:hAnsi="Times New Roman"/>
                <w:color w:val="000000"/>
                <w:kern w:val="0"/>
                <w:szCs w:val="21"/>
              </w:rPr>
            </w:pPr>
            <w:r>
              <w:rPr>
                <w:rFonts w:ascii="Times New Roman" w:hAnsi="Times New Roman"/>
                <w:color w:val="000000"/>
                <w:kern w:val="0"/>
                <w:szCs w:val="21"/>
              </w:rPr>
              <w:t>秦皇岛</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1485</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1343</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-142</w:t>
            </w:r>
          </w:p>
        </w:tc>
      </w:tr>
      <w:tr>
        <w:tblPrEx>
          <w:tblCellMar>
            <w:top w:w="0" w:type="dxa"/>
            <w:left w:w="108" w:type="dxa"/>
            <w:bottom w:w="0" w:type="dxa"/>
            <w:right w:w="108" w:type="dxa"/>
          </w:tblCellMar>
        </w:tblPrEx>
        <w:trPr>
          <w:trHeight w:val="680" w:hRule="atLeast"/>
          <w:jc w:val="center"/>
        </w:trPr>
        <w:tc>
          <w:tcPr>
            <w:tcW w:w="56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山西</w:t>
            </w:r>
          </w:p>
        </w:tc>
        <w:tc>
          <w:tcPr>
            <w:tcW w:w="4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II类</w:t>
            </w:r>
          </w:p>
        </w:tc>
        <w:tc>
          <w:tcPr>
            <w:tcW w:w="158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忻州、朔州、大同</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rPr>
              <w:t>1470</w:t>
            </w:r>
          </w:p>
        </w:tc>
        <w:tc>
          <w:tcPr>
            <w:tcW w:w="8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1424</w:t>
            </w:r>
          </w:p>
        </w:tc>
        <w:tc>
          <w:tcPr>
            <w:tcW w:w="695"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rPr>
              <w:t>-46</w:t>
            </w:r>
          </w:p>
        </w:tc>
      </w:tr>
    </w:tbl>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sectPr>
          <w:footerReference r:id="rId5" w:type="even"/>
          <w:pgSz w:w="11906" w:h="16838"/>
          <w:pgMar w:top="1440" w:right="1797" w:bottom="1440" w:left="1797" w:header="851" w:footer="992" w:gutter="0"/>
          <w:cols w:space="720" w:num="1"/>
          <w:docGrid w:linePitch="312" w:charSpace="0"/>
        </w:sectPr>
      </w:pPr>
    </w:p>
    <w:p>
      <w:pPr>
        <w:pStyle w:val="2"/>
        <w:ind w:firstLine="600"/>
      </w:pPr>
      <w:r>
        <w:rPr>
          <w:rFonts w:hint="eastAsia"/>
        </w:rPr>
        <w:t>四</w:t>
      </w:r>
      <w:r>
        <w:t>、</w:t>
      </w:r>
      <w:r>
        <w:rPr>
          <w:rFonts w:hint="eastAsia"/>
        </w:rPr>
        <w:t>全国</w:t>
      </w:r>
      <w:r>
        <w:t>清洁能源消纳</w:t>
      </w:r>
      <w:r>
        <w:rPr>
          <w:rFonts w:hint="eastAsia"/>
        </w:rPr>
        <w:t>利用</w:t>
      </w:r>
      <w:r>
        <w:t>情况</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202</w:t>
      </w:r>
      <w:r>
        <w:rPr>
          <w:rFonts w:ascii="Times New Roman" w:hAnsi="Times New Roman" w:eastAsia="方正仿宋_GBK"/>
          <w:sz w:val="30"/>
          <w:szCs w:val="30"/>
        </w:rPr>
        <w:t>1</w:t>
      </w:r>
      <w:r>
        <w:rPr>
          <w:rFonts w:hint="eastAsia" w:ascii="Times New Roman" w:hAnsi="Times New Roman" w:eastAsia="方正仿宋_GBK"/>
          <w:sz w:val="30"/>
          <w:szCs w:val="30"/>
        </w:rPr>
        <w:t>年，全国及重点省份清洁能源消纳利用情况良好。　2021年，全国风电平均利用率96.9%，同比提升0.4个百分点；尤其是湖南、甘肃和新疆，风电利用率同比显著提升，湖南风电利用率99%、甘肃风电利用率95.9%，新疆风电利用率92.7%、同比分别提升4.5、2.3、3.0个百分点。2021年，全国光伏发电利用率98%，与上年基本持平。新疆、西藏等地光伏消纳水平显著提升，光伏利用率同比分别提升2.8和5.6个百分点。全国主要流域水能利用率约97.9%，同比提高1.5个百分点。</w:t>
      </w:r>
    </w:p>
    <w:p>
      <w:pPr>
        <w:pStyle w:val="18"/>
        <w:spacing w:before="120"/>
        <w:rPr>
          <w:rFonts w:hAnsi="黑体" w:eastAsia="黑体"/>
        </w:rPr>
      </w:pPr>
      <w:r>
        <w:rPr>
          <w:rFonts w:hAnsi="黑体" w:eastAsia="黑体"/>
        </w:rPr>
        <w:t>表</w:t>
      </w:r>
      <w:r>
        <w:rPr>
          <w:rFonts w:hint="eastAsia" w:hAnsi="黑体" w:eastAsia="黑体"/>
        </w:rPr>
        <w:t>5</w:t>
      </w:r>
      <w:r>
        <w:rPr>
          <w:rFonts w:hAnsi="黑体" w:eastAsia="黑体"/>
        </w:rPr>
        <w:t xml:space="preserve">  2021年</w:t>
      </w:r>
      <w:r>
        <w:rPr>
          <w:rFonts w:hint="eastAsia" w:hAnsi="黑体" w:eastAsia="黑体"/>
        </w:rPr>
        <w:t>全国风电并网消纳</w:t>
      </w:r>
      <w:r>
        <w:rPr>
          <w:rFonts w:hAnsi="黑体" w:eastAsia="黑体"/>
        </w:rPr>
        <w:t>情况</w:t>
      </w:r>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38"/>
        <w:gridCol w:w="3395"/>
        <w:gridCol w:w="33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trPr>
        <w:tc>
          <w:tcPr>
            <w:tcW w:w="1019" w:type="pct"/>
            <w:shd w:val="clear" w:color="auto" w:fill="auto"/>
            <w:noWrap/>
            <w:vAlign w:val="center"/>
          </w:tcPr>
          <w:p>
            <w:pPr>
              <w:widowControl/>
              <w:jc w:val="center"/>
              <w:rPr>
                <w:rFonts w:ascii="Times New Roman" w:hAnsi="Times New Roman"/>
                <w:color w:val="000000"/>
                <w:kern w:val="0"/>
                <w:sz w:val="22"/>
              </w:rPr>
            </w:pPr>
            <w:r>
              <w:rPr>
                <w:rFonts w:ascii="Times New Roman" w:hAnsi="Times New Roman"/>
                <w:color w:val="000000"/>
                <w:kern w:val="0"/>
                <w:sz w:val="22"/>
              </w:rPr>
              <w:t>　</w:t>
            </w:r>
          </w:p>
        </w:tc>
        <w:tc>
          <w:tcPr>
            <w:tcW w:w="1990" w:type="pct"/>
            <w:shd w:val="clear" w:color="auto" w:fill="auto"/>
            <w:noWrap/>
            <w:vAlign w:val="center"/>
          </w:tcPr>
          <w:p>
            <w:pPr>
              <w:widowControl/>
              <w:jc w:val="center"/>
              <w:rPr>
                <w:rFonts w:ascii="Times New Roman" w:hAnsi="Times New Roman"/>
                <w:b/>
                <w:bCs/>
                <w:color w:val="000000"/>
                <w:kern w:val="0"/>
                <w:sz w:val="22"/>
              </w:rPr>
            </w:pPr>
            <w:r>
              <w:rPr>
                <w:rFonts w:ascii="Times New Roman" w:hAnsi="Times New Roman"/>
                <w:b/>
                <w:bCs/>
                <w:color w:val="000000"/>
                <w:kern w:val="0"/>
                <w:sz w:val="22"/>
              </w:rPr>
              <w:t>2020</w:t>
            </w:r>
            <w:r>
              <w:rPr>
                <w:rFonts w:hint="eastAsia" w:ascii="Times New Roman" w:hAnsi="Times New Roman"/>
                <w:b/>
                <w:bCs/>
                <w:color w:val="000000"/>
                <w:kern w:val="0"/>
                <w:sz w:val="22"/>
              </w:rPr>
              <w:t>年实际利用率</w:t>
            </w:r>
          </w:p>
        </w:tc>
        <w:tc>
          <w:tcPr>
            <w:tcW w:w="1990" w:type="pct"/>
            <w:shd w:val="clear" w:color="auto" w:fill="auto"/>
            <w:noWrap/>
            <w:vAlign w:val="center"/>
          </w:tcPr>
          <w:p>
            <w:pPr>
              <w:widowControl/>
              <w:jc w:val="center"/>
              <w:rPr>
                <w:rFonts w:ascii="Times New Roman" w:hAnsi="Times New Roman"/>
                <w:b/>
                <w:bCs/>
                <w:color w:val="000000"/>
                <w:kern w:val="0"/>
                <w:sz w:val="22"/>
              </w:rPr>
            </w:pPr>
            <w:r>
              <w:rPr>
                <w:rFonts w:ascii="Times New Roman" w:hAnsi="Times New Roman"/>
                <w:b/>
                <w:bCs/>
                <w:color w:val="000000"/>
                <w:kern w:val="0"/>
                <w:sz w:val="22"/>
              </w:rPr>
              <w:t>2021</w:t>
            </w:r>
            <w:r>
              <w:rPr>
                <w:rFonts w:hint="eastAsia" w:ascii="Times New Roman" w:hAnsi="Times New Roman"/>
                <w:b/>
                <w:bCs/>
                <w:color w:val="000000"/>
                <w:kern w:val="0"/>
                <w:sz w:val="22"/>
              </w:rPr>
              <w:t>年实际利用率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全国</w:t>
            </w:r>
          </w:p>
        </w:tc>
        <w:tc>
          <w:tcPr>
            <w:tcW w:w="1990" w:type="pct"/>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96.5%</w:t>
            </w:r>
          </w:p>
        </w:tc>
        <w:tc>
          <w:tcPr>
            <w:tcW w:w="1990" w:type="pct"/>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96.9%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北京</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天津</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95.3%</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山西</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山东</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96.8%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蒙西</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93.0%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蒙东</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辽宁</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吉林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97.6%</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黑龙江</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99.5%</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上海</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江苏</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浙江</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安徽</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福建</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江西</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94.5%</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重庆</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四川</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陕西</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96.7%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甘肃</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93.6%</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青海</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95.3%</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89.3%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宁夏</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新疆</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89.7%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西藏</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广东</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广西</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海南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贵州</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9"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云南</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99.4%</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99.9%</w:t>
            </w:r>
          </w:p>
        </w:tc>
      </w:tr>
    </w:tbl>
    <w:p>
      <w:pPr>
        <w:pStyle w:val="18"/>
        <w:spacing w:before="0" w:after="0" w:line="240" w:lineRule="auto"/>
        <w:rPr>
          <w:rFonts w:hAnsi="黑体" w:eastAsia="黑体"/>
        </w:rPr>
      </w:pPr>
    </w:p>
    <w:p>
      <w:pPr>
        <w:pStyle w:val="18"/>
        <w:spacing w:before="120"/>
        <w:rPr>
          <w:rFonts w:hAnsi="黑体" w:eastAsia="黑体"/>
        </w:rPr>
      </w:pPr>
      <w:r>
        <w:rPr>
          <w:rFonts w:hAnsi="黑体" w:eastAsia="黑体"/>
        </w:rPr>
        <w:t>表6  2021年</w:t>
      </w:r>
      <w:r>
        <w:rPr>
          <w:rFonts w:hint="eastAsia" w:hAnsi="黑体" w:eastAsia="黑体"/>
        </w:rPr>
        <w:t>全国光伏并网消纳</w:t>
      </w:r>
      <w:r>
        <w:rPr>
          <w:rFonts w:hAnsi="黑体" w:eastAsia="黑体"/>
        </w:rPr>
        <w:t>情况</w:t>
      </w:r>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40"/>
        <w:gridCol w:w="3396"/>
        <w:gridCol w:w="33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trPr>
        <w:tc>
          <w:tcPr>
            <w:tcW w:w="1020" w:type="pct"/>
            <w:shd w:val="clear" w:color="auto" w:fill="auto"/>
            <w:noWrap/>
            <w:vAlign w:val="center"/>
          </w:tcPr>
          <w:p>
            <w:pPr>
              <w:widowControl/>
              <w:jc w:val="center"/>
              <w:rPr>
                <w:rFonts w:ascii="Times New Roman" w:hAnsi="Times New Roman"/>
                <w:color w:val="000000"/>
                <w:kern w:val="0"/>
                <w:sz w:val="22"/>
              </w:rPr>
            </w:pPr>
            <w:r>
              <w:rPr>
                <w:rFonts w:ascii="Times New Roman" w:hAnsi="Times New Roman"/>
                <w:color w:val="000000"/>
                <w:kern w:val="0"/>
                <w:sz w:val="22"/>
              </w:rPr>
              <w:t>　</w:t>
            </w:r>
          </w:p>
        </w:tc>
        <w:tc>
          <w:tcPr>
            <w:tcW w:w="1991" w:type="pct"/>
            <w:shd w:val="clear" w:color="auto" w:fill="auto"/>
            <w:noWrap/>
            <w:vAlign w:val="center"/>
          </w:tcPr>
          <w:p>
            <w:pPr>
              <w:widowControl/>
              <w:jc w:val="center"/>
              <w:rPr>
                <w:rFonts w:ascii="Times New Roman" w:hAnsi="Times New Roman"/>
                <w:b/>
                <w:bCs/>
                <w:color w:val="000000"/>
                <w:kern w:val="0"/>
                <w:sz w:val="22"/>
              </w:rPr>
            </w:pPr>
            <w:r>
              <w:rPr>
                <w:rFonts w:ascii="Times New Roman" w:hAnsi="Times New Roman"/>
                <w:b/>
                <w:bCs/>
                <w:color w:val="000000"/>
                <w:kern w:val="0"/>
                <w:sz w:val="22"/>
              </w:rPr>
              <w:t>2020</w:t>
            </w:r>
            <w:r>
              <w:rPr>
                <w:rFonts w:hint="eastAsia" w:ascii="Times New Roman" w:hAnsi="Times New Roman"/>
                <w:b/>
                <w:bCs/>
                <w:color w:val="000000"/>
                <w:kern w:val="0"/>
                <w:sz w:val="22"/>
              </w:rPr>
              <w:t>年实际利用率</w:t>
            </w:r>
          </w:p>
        </w:tc>
        <w:tc>
          <w:tcPr>
            <w:tcW w:w="1990" w:type="pct"/>
            <w:shd w:val="clear" w:color="auto" w:fill="auto"/>
            <w:noWrap/>
            <w:vAlign w:val="center"/>
          </w:tcPr>
          <w:p>
            <w:pPr>
              <w:widowControl/>
              <w:jc w:val="center"/>
              <w:rPr>
                <w:rFonts w:ascii="Times New Roman" w:hAnsi="Times New Roman"/>
                <w:b/>
                <w:bCs/>
                <w:color w:val="000000"/>
                <w:kern w:val="0"/>
                <w:sz w:val="22"/>
              </w:rPr>
            </w:pPr>
            <w:r>
              <w:rPr>
                <w:rFonts w:ascii="Times New Roman" w:hAnsi="Times New Roman"/>
                <w:b/>
                <w:bCs/>
                <w:color w:val="000000"/>
                <w:kern w:val="0"/>
                <w:sz w:val="22"/>
              </w:rPr>
              <w:t>2021</w:t>
            </w:r>
            <w:r>
              <w:rPr>
                <w:rFonts w:hint="eastAsia" w:ascii="Times New Roman" w:hAnsi="Times New Roman"/>
                <w:b/>
                <w:bCs/>
                <w:color w:val="000000"/>
                <w:kern w:val="0"/>
                <w:sz w:val="22"/>
              </w:rPr>
              <w:t>年实际利用率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全国</w:t>
            </w:r>
          </w:p>
        </w:tc>
        <w:tc>
          <w:tcPr>
            <w:tcW w:w="1991" w:type="pct"/>
            <w:shd w:val="clear" w:color="auto" w:fill="auto"/>
            <w:noWrap/>
            <w:vAlign w:val="center"/>
          </w:tcPr>
          <w:p>
            <w:pPr>
              <w:widowControl/>
              <w:jc w:val="center"/>
              <w:rPr>
                <w:rFonts w:ascii="Times New Roman" w:hAnsi="Times New Roman" w:cs="宋体"/>
                <w:b/>
                <w:color w:val="000000"/>
                <w:kern w:val="0"/>
                <w:szCs w:val="21"/>
              </w:rPr>
            </w:pPr>
            <w:r>
              <w:rPr>
                <w:rFonts w:hint="eastAsia" w:ascii="Times New Roman" w:hAnsi="Times New Roman"/>
                <w:b/>
                <w:color w:val="000000"/>
                <w:szCs w:val="21"/>
              </w:rPr>
              <w:t>98.0%</w:t>
            </w:r>
          </w:p>
        </w:tc>
        <w:tc>
          <w:tcPr>
            <w:tcW w:w="1990" w:type="pct"/>
            <w:shd w:val="clear" w:color="auto" w:fill="auto"/>
            <w:noWrap/>
            <w:vAlign w:val="center"/>
          </w:tcPr>
          <w:p>
            <w:pPr>
              <w:widowControl/>
              <w:jc w:val="center"/>
              <w:rPr>
                <w:rFonts w:ascii="Times New Roman" w:hAnsi="Times New Roman" w:cs="宋体"/>
                <w:b/>
                <w:color w:val="000000"/>
                <w:kern w:val="0"/>
                <w:szCs w:val="21"/>
              </w:rPr>
            </w:pPr>
            <w:r>
              <w:rPr>
                <w:rFonts w:hint="eastAsia" w:ascii="Times New Roman" w:hAnsi="Times New Roman"/>
                <w:b/>
                <w:color w:val="000000"/>
                <w:szCs w:val="21"/>
              </w:rPr>
              <w:t>98.0%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北京</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天津</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98.7%</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山西</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山东</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蒙西</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96.4%</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蒙东</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辽宁</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吉林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黑龙江</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上海</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江苏</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浙江</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安徽</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福建</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江西</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99.9%</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重庆</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四川</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陕西</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97.1%</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甘肃</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97.8%</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青海</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92.0%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86.2%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宁夏</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97.5%</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新疆</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95.4%</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西藏</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74.6%</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80.2%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广东</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广西</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海南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贵州</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99.4%</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云南</w:t>
            </w:r>
          </w:p>
        </w:tc>
        <w:tc>
          <w:tcPr>
            <w:tcW w:w="1991"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99.5%</w:t>
            </w:r>
          </w:p>
        </w:tc>
        <w:tc>
          <w:tcPr>
            <w:tcW w:w="1990" w:type="pct"/>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99.8%</w:t>
            </w:r>
          </w:p>
        </w:tc>
      </w:tr>
    </w:tbl>
    <w:p>
      <w:pPr>
        <w:pStyle w:val="18"/>
        <w:spacing w:before="120"/>
        <w:rPr>
          <w:rFonts w:hAnsi="黑体" w:eastAsia="黑体"/>
        </w:rPr>
      </w:pPr>
    </w:p>
    <w:p>
      <w:pPr>
        <w:pStyle w:val="18"/>
        <w:spacing w:before="120"/>
        <w:rPr>
          <w:rFonts w:hAnsi="黑体" w:eastAsia="黑体"/>
        </w:rPr>
      </w:pPr>
      <w:r>
        <w:rPr>
          <w:rFonts w:hAnsi="黑体" w:eastAsia="黑体"/>
        </w:rPr>
        <w:t>表7  2021年</w:t>
      </w:r>
      <w:r>
        <w:rPr>
          <w:rFonts w:hint="eastAsia" w:hAnsi="黑体" w:eastAsia="黑体"/>
        </w:rPr>
        <w:t>全国主要流域水电利用情况</w:t>
      </w:r>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79"/>
        <w:gridCol w:w="3374"/>
        <w:gridCol w:w="33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43" w:type="pct"/>
            <w:shd w:val="clear" w:color="auto" w:fill="auto"/>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主要流域</w:t>
            </w:r>
          </w:p>
        </w:tc>
        <w:tc>
          <w:tcPr>
            <w:tcW w:w="1978" w:type="pct"/>
            <w:shd w:val="clear" w:color="auto" w:fill="auto"/>
            <w:noWrap/>
            <w:vAlign w:val="center"/>
          </w:tcPr>
          <w:p>
            <w:pPr>
              <w:widowControl/>
              <w:jc w:val="center"/>
              <w:rPr>
                <w:rFonts w:ascii="Times New Roman" w:hAnsi="Times New Roman" w:cs="宋体"/>
                <w:color w:val="000000"/>
                <w:kern w:val="0"/>
                <w:szCs w:val="21"/>
              </w:rPr>
            </w:pPr>
            <w:r>
              <w:rPr>
                <w:rFonts w:ascii="Times New Roman" w:hAnsi="Times New Roman"/>
                <w:b/>
                <w:bCs/>
                <w:kern w:val="0"/>
                <w:szCs w:val="21"/>
              </w:rPr>
              <w:t>2020</w:t>
            </w:r>
            <w:r>
              <w:rPr>
                <w:rFonts w:hint="eastAsia" w:ascii="Times New Roman" w:hAnsi="Times New Roman"/>
                <w:b/>
                <w:bCs/>
                <w:kern w:val="0"/>
                <w:szCs w:val="21"/>
              </w:rPr>
              <w:t>年有效水能利用率</w:t>
            </w:r>
          </w:p>
        </w:tc>
        <w:tc>
          <w:tcPr>
            <w:tcW w:w="1978" w:type="pct"/>
            <w:shd w:val="clear" w:color="auto" w:fill="auto"/>
            <w:noWrap/>
            <w:vAlign w:val="center"/>
          </w:tcPr>
          <w:p>
            <w:pPr>
              <w:widowControl/>
              <w:jc w:val="center"/>
              <w:rPr>
                <w:rFonts w:ascii="Times New Roman" w:hAnsi="Times New Roman"/>
                <w:kern w:val="0"/>
                <w:szCs w:val="21"/>
              </w:rPr>
            </w:pPr>
            <w:r>
              <w:rPr>
                <w:rFonts w:ascii="Times New Roman" w:hAnsi="Times New Roman"/>
                <w:b/>
                <w:bCs/>
                <w:kern w:val="0"/>
                <w:szCs w:val="21"/>
              </w:rPr>
              <w:t>2021</w:t>
            </w:r>
            <w:r>
              <w:rPr>
                <w:rFonts w:hint="eastAsia" w:ascii="Times New Roman" w:hAnsi="Times New Roman"/>
                <w:b/>
                <w:bCs/>
                <w:kern w:val="0"/>
                <w:szCs w:val="21"/>
              </w:rPr>
              <w:t>年有效水能利用率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金沙江</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99.20%</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雅砻江</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93.54%</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大渡河</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86.81%</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92.83%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乌江</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98.34%</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长江干流上游</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99.85%</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黄河干流上游</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93.14%</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南盘江-</w:t>
            </w:r>
            <w:r>
              <w:rPr>
                <w:rFonts w:hint="eastAsia" w:ascii="Times New Roman" w:hAnsi="Times New Roman"/>
                <w:color w:val="000000"/>
                <w:kern w:val="0"/>
                <w:szCs w:val="21"/>
              </w:rPr>
              <w:t>红水河</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99.26%</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澜沧江</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99.88%</w:t>
            </w:r>
          </w:p>
        </w:tc>
        <w:tc>
          <w:tcPr>
            <w:tcW w:w="1978"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99.95%</w:t>
            </w:r>
          </w:p>
        </w:tc>
      </w:tr>
    </w:tbl>
    <w:p>
      <w:pPr>
        <w:pStyle w:val="2"/>
        <w:ind w:firstLine="600"/>
      </w:pPr>
      <w:r>
        <w:rPr>
          <w:rFonts w:hint="eastAsia"/>
        </w:rPr>
        <w:t>五</w:t>
      </w:r>
      <w:r>
        <w:t>、</w:t>
      </w:r>
      <w:r>
        <w:rPr>
          <w:rFonts w:hint="eastAsia"/>
        </w:rPr>
        <w:t>直流</w:t>
      </w:r>
      <w:r>
        <w:t>特高压线路输送可再生能源情况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1年，17条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特高压线路年输送电量4887亿千瓦时，其中可再生能源电量</w:t>
      </w:r>
      <w:r>
        <w:rPr>
          <w:rFonts w:hint="eastAsia" w:ascii="Times New Roman" w:hAnsi="Times New Roman" w:eastAsia="方正仿宋_GBK"/>
          <w:sz w:val="30"/>
          <w:szCs w:val="30"/>
        </w:rPr>
        <w:t>2</w:t>
      </w:r>
      <w:r>
        <w:rPr>
          <w:rFonts w:ascii="Times New Roman" w:hAnsi="Times New Roman" w:eastAsia="方正仿宋_GBK"/>
          <w:sz w:val="30"/>
          <w:szCs w:val="30"/>
        </w:rPr>
        <w:t>871亿千瓦时，</w:t>
      </w:r>
      <w:r>
        <w:rPr>
          <w:rFonts w:hint="eastAsia" w:ascii="Times New Roman" w:hAnsi="Times New Roman" w:eastAsia="方正仿宋_GBK"/>
          <w:sz w:val="30"/>
          <w:szCs w:val="30"/>
        </w:rPr>
        <w:t>同比提高</w:t>
      </w:r>
      <w:r>
        <w:rPr>
          <w:rFonts w:ascii="Times New Roman" w:hAnsi="Times New Roman" w:eastAsia="方正仿宋_GBK"/>
          <w:sz w:val="30"/>
          <w:szCs w:val="30"/>
        </w:rPr>
        <w:t>18.3</w:t>
      </w:r>
      <w:r>
        <w:rPr>
          <w:rFonts w:hint="eastAsia" w:ascii="Times New Roman" w:hAnsi="Times New Roman" w:eastAsia="方正仿宋_GBK"/>
          <w:sz w:val="30"/>
          <w:szCs w:val="30"/>
        </w:rPr>
        <w:t>%，可再生能源电量</w:t>
      </w:r>
      <w:r>
        <w:rPr>
          <w:rFonts w:ascii="Times New Roman" w:hAnsi="Times New Roman" w:eastAsia="方正仿宋_GBK"/>
          <w:sz w:val="30"/>
          <w:szCs w:val="30"/>
        </w:rPr>
        <w:t>占全部</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w:t>
      </w:r>
      <w:r>
        <w:rPr>
          <w:rFonts w:hint="eastAsia" w:ascii="Times New Roman" w:hAnsi="Times New Roman" w:eastAsia="方正仿宋_GBK"/>
          <w:sz w:val="30"/>
          <w:szCs w:val="30"/>
        </w:rPr>
        <w:t>总</w:t>
      </w:r>
      <w:r>
        <w:rPr>
          <w:rFonts w:ascii="Times New Roman" w:hAnsi="Times New Roman" w:eastAsia="方正仿宋_GBK"/>
          <w:sz w:val="30"/>
          <w:szCs w:val="30"/>
        </w:rPr>
        <w:t>输送电量的58.7%。国家电网</w:t>
      </w:r>
      <w:r>
        <w:rPr>
          <w:rFonts w:hint="eastAsia" w:ascii="Times New Roman" w:hAnsi="Times New Roman" w:eastAsia="方正仿宋_GBK"/>
          <w:sz w:val="30"/>
          <w:szCs w:val="30"/>
        </w:rPr>
        <w:t>运营</w:t>
      </w:r>
      <w:r>
        <w:rPr>
          <w:rFonts w:ascii="Times New Roman" w:hAnsi="Times New Roman" w:eastAsia="方正仿宋_GBK"/>
          <w:sz w:val="30"/>
          <w:szCs w:val="30"/>
        </w:rPr>
        <w:t>的13条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w:t>
      </w:r>
      <w:r>
        <w:rPr>
          <w:rFonts w:hint="eastAsia" w:ascii="Times New Roman" w:hAnsi="Times New Roman" w:eastAsia="方正仿宋_GBK"/>
          <w:sz w:val="30"/>
          <w:szCs w:val="30"/>
        </w:rPr>
        <w:t>总</w:t>
      </w:r>
      <w:r>
        <w:rPr>
          <w:rFonts w:ascii="Times New Roman" w:hAnsi="Times New Roman" w:eastAsia="方正仿宋_GBK"/>
          <w:sz w:val="30"/>
          <w:szCs w:val="30"/>
        </w:rPr>
        <w:t>输送电量4048亿千瓦时，其中可再生能源电量2032亿千瓦时，占</w:t>
      </w:r>
      <w:r>
        <w:rPr>
          <w:rFonts w:hint="eastAsia" w:ascii="Times New Roman" w:hAnsi="Times New Roman" w:eastAsia="方正仿宋_GBK"/>
          <w:sz w:val="30"/>
          <w:szCs w:val="30"/>
        </w:rPr>
        <w:t>总</w:t>
      </w:r>
      <w:r>
        <w:rPr>
          <w:rFonts w:ascii="Times New Roman" w:hAnsi="Times New Roman" w:eastAsia="方正仿宋_GBK"/>
          <w:sz w:val="30"/>
          <w:szCs w:val="30"/>
        </w:rPr>
        <w:t>输送电量的50.2%；南方电网</w:t>
      </w:r>
      <w:r>
        <w:rPr>
          <w:rFonts w:hint="eastAsia" w:ascii="Times New Roman" w:hAnsi="Times New Roman" w:eastAsia="方正仿宋_GBK"/>
          <w:sz w:val="30"/>
          <w:szCs w:val="30"/>
        </w:rPr>
        <w:t>运营</w:t>
      </w:r>
      <w:r>
        <w:rPr>
          <w:rFonts w:ascii="Times New Roman" w:hAnsi="Times New Roman" w:eastAsia="方正仿宋_GBK"/>
          <w:sz w:val="30"/>
          <w:szCs w:val="30"/>
        </w:rPr>
        <w:t>的</w:t>
      </w:r>
      <w:r>
        <w:rPr>
          <w:rFonts w:hint="eastAsia" w:ascii="Times New Roman" w:hAnsi="Times New Roman" w:eastAsia="方正仿宋_GBK"/>
          <w:sz w:val="30"/>
          <w:szCs w:val="30"/>
        </w:rPr>
        <w:t>4</w:t>
      </w:r>
      <w:r>
        <w:rPr>
          <w:rFonts w:ascii="Times New Roman" w:hAnsi="Times New Roman" w:eastAsia="方正仿宋_GBK"/>
          <w:sz w:val="30"/>
          <w:szCs w:val="30"/>
        </w:rPr>
        <w:t>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特高压线路输送电量839亿千瓦时，全部为可再生能源电量。</w:t>
      </w:r>
    </w:p>
    <w:p>
      <w:pPr>
        <w:spacing w:line="600" w:lineRule="exact"/>
        <w:ind w:firstLine="600" w:firstLineChars="200"/>
        <w:rPr>
          <w:rFonts w:ascii="Times New Roman" w:hAnsi="Times New Roman" w:eastAsia="方正仿宋_GBK"/>
          <w:sz w:val="30"/>
          <w:szCs w:val="30"/>
        </w:rPr>
      </w:pPr>
    </w:p>
    <w:p>
      <w:pPr>
        <w:spacing w:line="600" w:lineRule="exact"/>
        <w:ind w:firstLine="600" w:firstLineChars="200"/>
        <w:rPr>
          <w:rFonts w:ascii="Times New Roman" w:hAnsi="Times New Roman" w:eastAsia="方正仿宋_GBK"/>
          <w:sz w:val="30"/>
          <w:szCs w:val="30"/>
        </w:rPr>
      </w:pPr>
    </w:p>
    <w:p>
      <w:pPr>
        <w:pStyle w:val="18"/>
        <w:adjustRightInd w:val="0"/>
        <w:snapToGrid w:val="0"/>
        <w:spacing w:before="0" w:after="0"/>
        <w:rPr>
          <w:rFonts w:hAnsi="黑体" w:eastAsia="黑体"/>
        </w:rPr>
      </w:pPr>
      <w:r>
        <w:rPr>
          <w:rFonts w:hAnsi="黑体" w:eastAsia="黑体"/>
        </w:rPr>
        <w:t>表8  2021年</w:t>
      </w:r>
      <w:r>
        <w:rPr>
          <w:rFonts w:hint="eastAsia" w:hAnsi="黑体" w:eastAsia="黑体"/>
        </w:rPr>
        <w:t>直流</w:t>
      </w:r>
      <w:r>
        <w:rPr>
          <w:rFonts w:hAnsi="黑体" w:eastAsia="黑体"/>
        </w:rPr>
        <w:t>特高压线路输送电量情况</w:t>
      </w:r>
    </w:p>
    <w:tbl>
      <w:tblPr>
        <w:tblStyle w:val="13"/>
        <w:tblW w:w="80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3"/>
        <w:gridCol w:w="1417"/>
        <w:gridCol w:w="1559"/>
        <w:gridCol w:w="1560"/>
        <w:gridCol w:w="1275"/>
        <w:gridCol w:w="1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2"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序号</w:t>
            </w:r>
          </w:p>
        </w:tc>
        <w:tc>
          <w:tcPr>
            <w:tcW w:w="1417" w:type="dxa"/>
            <w:shd w:val="clear" w:color="auto" w:fill="auto"/>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线路名称</w:t>
            </w:r>
          </w:p>
        </w:tc>
        <w:tc>
          <w:tcPr>
            <w:tcW w:w="1559" w:type="dxa"/>
            <w:shd w:val="clear" w:color="auto" w:fill="auto"/>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年输送电量</w:t>
            </w:r>
          </w:p>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(亿千瓦时)</w:t>
            </w:r>
          </w:p>
        </w:tc>
        <w:tc>
          <w:tcPr>
            <w:tcW w:w="1560" w:type="dxa"/>
            <w:shd w:val="clear" w:color="auto" w:fill="auto"/>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可再生电量</w:t>
            </w:r>
          </w:p>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合计</w:t>
            </w:r>
          </w:p>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（亿千瓦时）</w:t>
            </w:r>
          </w:p>
        </w:tc>
        <w:tc>
          <w:tcPr>
            <w:tcW w:w="1275" w:type="dxa"/>
            <w:shd w:val="clear" w:color="auto" w:fill="auto"/>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可再生能源占比</w:t>
            </w:r>
          </w:p>
        </w:tc>
        <w:tc>
          <w:tcPr>
            <w:tcW w:w="1246" w:type="dxa"/>
            <w:shd w:val="clear" w:color="auto" w:fill="auto"/>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占比同比增长</w:t>
            </w:r>
          </w:p>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（百分点）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复奉直流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283.0</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283.0</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锦苏直流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361.9</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361.9</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宾金直流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271.6</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271.3</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99.9%</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4</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天中直流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446.1</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159.7</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35.8%</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灵绍直流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504.1</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116.4</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23.1%</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6</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祁韶直流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271.9</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70.9</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26.1%</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7</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雁淮直流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285.7</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50.4</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17.6%</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8</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锡泰直流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185.9</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41.6</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22.4%</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鲁固直流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265.4</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101.0</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38.0%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417" w:type="dxa"/>
            <w:shd w:val="clear" w:color="auto" w:fill="auto"/>
            <w:noWrap/>
            <w:vAlign w:val="center"/>
          </w:tcPr>
          <w:p>
            <w:pPr>
              <w:widowControl/>
              <w:jc w:val="center"/>
              <w:rPr>
                <w:rFonts w:ascii="Times New Roman" w:hAnsi="Times New Roman" w:cs="宋体"/>
                <w:b/>
                <w:bCs/>
                <w:color w:val="000000"/>
                <w:kern w:val="0"/>
                <w:szCs w:val="21"/>
              </w:rPr>
            </w:pPr>
            <w:bookmarkStart w:id="0" w:name="_Hlk105760339"/>
            <w:r>
              <w:rPr>
                <w:rFonts w:hint="eastAsia" w:ascii="Times New Roman" w:hAnsi="Times New Roman" w:cs="宋体"/>
                <w:b/>
                <w:bCs/>
                <w:color w:val="000000"/>
                <w:kern w:val="0"/>
                <w:szCs w:val="21"/>
              </w:rPr>
              <w:t>昭沂</w:t>
            </w:r>
            <w:bookmarkEnd w:id="0"/>
            <w:r>
              <w:rPr>
                <w:rFonts w:hint="eastAsia" w:ascii="Times New Roman" w:hAnsi="Times New Roman" w:cs="宋体"/>
                <w:b/>
                <w:bCs/>
                <w:color w:val="000000"/>
                <w:kern w:val="0"/>
                <w:szCs w:val="21"/>
              </w:rPr>
              <w:t>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319.6</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107.8</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33.7%</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11</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吉泉直流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550.6</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172.9</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31.4%</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12</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青豫直流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151.5</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148.9</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98.3%</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13</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雅湖直流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150.5</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146.0</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14</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楚穗直流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217.6</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217.6</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w:t>
            </w:r>
          </w:p>
        </w:tc>
        <w:tc>
          <w:tcPr>
            <w:tcW w:w="1417" w:type="dxa"/>
            <w:shd w:val="clear" w:color="auto" w:fill="auto"/>
            <w:noWrap/>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普侨直流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156.2</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156.2</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16</w:t>
            </w:r>
          </w:p>
        </w:tc>
        <w:tc>
          <w:tcPr>
            <w:tcW w:w="1417" w:type="dxa"/>
            <w:shd w:val="clear" w:color="auto" w:fill="auto"/>
            <w:noWrap/>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新东直流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237.9</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237.9</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17</w:t>
            </w:r>
          </w:p>
        </w:tc>
        <w:tc>
          <w:tcPr>
            <w:tcW w:w="1417" w:type="dxa"/>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昆柳龙直流</w:t>
            </w:r>
          </w:p>
        </w:tc>
        <w:tc>
          <w:tcPr>
            <w:tcW w:w="1559"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227.1</w:t>
            </w:r>
          </w:p>
        </w:tc>
        <w:tc>
          <w:tcPr>
            <w:tcW w:w="1560"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227.1</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2400" w:type="dxa"/>
            <w:gridSpan w:val="2"/>
            <w:shd w:val="clear" w:color="auto" w:fill="auto"/>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全国</w:t>
            </w:r>
          </w:p>
        </w:tc>
        <w:tc>
          <w:tcPr>
            <w:tcW w:w="1559" w:type="dxa"/>
            <w:shd w:val="clear" w:color="auto" w:fill="auto"/>
            <w:noWrap/>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4887</w:t>
            </w:r>
          </w:p>
        </w:tc>
        <w:tc>
          <w:tcPr>
            <w:tcW w:w="1560" w:type="dxa"/>
            <w:shd w:val="clear" w:color="auto" w:fill="auto"/>
            <w:noWrap/>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2871</w:t>
            </w:r>
          </w:p>
        </w:tc>
        <w:tc>
          <w:tcPr>
            <w:tcW w:w="1275"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58.7%</w:t>
            </w:r>
          </w:p>
        </w:tc>
        <w:tc>
          <w:tcPr>
            <w:tcW w:w="1246" w:type="dxa"/>
            <w:shd w:val="clear" w:color="auto" w:fill="auto"/>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12.8</w:t>
            </w:r>
          </w:p>
        </w:tc>
      </w:tr>
    </w:tbl>
    <w:p>
      <w:pPr>
        <w:widowControl/>
        <w:jc w:val="left"/>
        <w:rPr>
          <w:rFonts w:ascii="Times New Roman" w:hAnsi="Times New Roman"/>
          <w:color w:val="000000"/>
          <w:kern w:val="0"/>
          <w:sz w:val="22"/>
          <w:szCs w:val="24"/>
        </w:rPr>
      </w:pPr>
    </w:p>
    <w:p>
      <w:pPr>
        <w:widowControl/>
        <w:jc w:val="left"/>
        <w:rPr>
          <w:rFonts w:ascii="Times New Roman" w:hAnsi="Times New Roman" w:eastAsia="方正仿宋_GBK"/>
        </w:rPr>
      </w:pPr>
      <w:r>
        <w:rPr>
          <w:rFonts w:ascii="Times New Roman" w:hAnsi="Times New Roman" w:eastAsia="方正仿宋_GBK"/>
          <w:color w:val="000000"/>
          <w:kern w:val="0"/>
          <w:sz w:val="22"/>
          <w:szCs w:val="24"/>
        </w:rPr>
        <w:t>注： 1-13项数据为国家电网报送，14-17项数据为南方电网公司报送。/表示由于线路新投产等原因没有同比数据。</w:t>
      </w:r>
    </w:p>
    <w:p>
      <w:pPr>
        <w:pStyle w:val="2"/>
        <w:ind w:firstLine="600"/>
      </w:pPr>
      <w:r>
        <w:rPr>
          <w:rFonts w:hint="eastAsia"/>
        </w:rPr>
        <w:t>六</w:t>
      </w:r>
      <w:r>
        <w:t>、国家清洁能源示范省（区）落实情况</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浙江。</w:t>
      </w: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1年，全部可再生能源电力消纳</w:t>
      </w:r>
      <w:r>
        <w:rPr>
          <w:rFonts w:hint="eastAsia" w:ascii="Times New Roman" w:hAnsi="Times New Roman" w:eastAsia="方正仿宋_GBK"/>
          <w:sz w:val="30"/>
          <w:szCs w:val="30"/>
        </w:rPr>
        <w:t>量</w:t>
      </w:r>
      <w:r>
        <w:rPr>
          <w:rFonts w:ascii="Times New Roman" w:hAnsi="Times New Roman" w:eastAsia="方正仿宋_GBK"/>
          <w:sz w:val="30"/>
          <w:szCs w:val="30"/>
        </w:rPr>
        <w:t>1042亿千瓦时，占本省全社会用电量的比重为</w:t>
      </w:r>
      <w:r>
        <w:rPr>
          <w:rFonts w:hint="eastAsia" w:ascii="Times New Roman" w:hAnsi="Times New Roman" w:eastAsia="方正仿宋_GBK"/>
          <w:sz w:val="30"/>
          <w:szCs w:val="30"/>
        </w:rPr>
        <w:t>1</w:t>
      </w:r>
      <w:r>
        <w:rPr>
          <w:rFonts w:ascii="Times New Roman" w:hAnsi="Times New Roman" w:eastAsia="方正仿宋_GBK"/>
          <w:sz w:val="30"/>
          <w:szCs w:val="30"/>
        </w:rPr>
        <w:t>8.9</w:t>
      </w:r>
      <w:r>
        <w:rPr>
          <w:rFonts w:hint="eastAsia" w:ascii="Times New Roman" w:hAnsi="Times New Roman" w:eastAsia="方正仿宋_GBK"/>
          <w:sz w:val="30"/>
          <w:szCs w:val="30"/>
        </w:rPr>
        <w:t>%，同比降低0.</w:t>
      </w:r>
      <w:r>
        <w:rPr>
          <w:rFonts w:ascii="Times New Roman" w:hAnsi="Times New Roman" w:eastAsia="方正仿宋_GBK"/>
          <w:sz w:val="30"/>
          <w:szCs w:val="30"/>
        </w:rPr>
        <w:t>7</w:t>
      </w:r>
      <w:r>
        <w:rPr>
          <w:rFonts w:hint="eastAsia" w:ascii="Times New Roman" w:hAnsi="Times New Roman" w:eastAsia="方正仿宋_GBK"/>
          <w:sz w:val="30"/>
          <w:szCs w:val="30"/>
        </w:rPr>
        <w:t>个百分点</w:t>
      </w:r>
      <w:r>
        <w:rPr>
          <w:rFonts w:ascii="Times New Roman" w:hAnsi="Times New Roman" w:eastAsia="方正仿宋_GBK"/>
          <w:sz w:val="30"/>
          <w:szCs w:val="30"/>
        </w:rPr>
        <w:t>；非水电可再生能源电力消纳量为474亿千瓦时</w:t>
      </w:r>
      <w:r>
        <w:rPr>
          <w:rFonts w:hint="eastAsia" w:ascii="Times New Roman" w:hAnsi="Times New Roman" w:eastAsia="方正仿宋_GBK"/>
          <w:sz w:val="30"/>
          <w:szCs w:val="30"/>
        </w:rPr>
        <w:t>，</w:t>
      </w:r>
      <w:r>
        <w:rPr>
          <w:rFonts w:ascii="Times New Roman" w:hAnsi="Times New Roman" w:eastAsia="方正仿宋_GBK"/>
          <w:sz w:val="30"/>
          <w:szCs w:val="30"/>
        </w:rPr>
        <w:t>占本省全社会用电量的比重为</w:t>
      </w:r>
      <w:r>
        <w:rPr>
          <w:rFonts w:hint="eastAsia" w:ascii="Times New Roman" w:hAnsi="Times New Roman" w:eastAsia="方正仿宋_GBK"/>
          <w:sz w:val="30"/>
          <w:szCs w:val="30"/>
        </w:rPr>
        <w:t>8</w:t>
      </w:r>
      <w:r>
        <w:rPr>
          <w:rFonts w:ascii="Times New Roman" w:hAnsi="Times New Roman" w:eastAsia="方正仿宋_GBK"/>
          <w:sz w:val="30"/>
          <w:szCs w:val="30"/>
        </w:rPr>
        <w:t>.6</w:t>
      </w:r>
      <w:r>
        <w:rPr>
          <w:rFonts w:hint="eastAsia" w:ascii="Times New Roman" w:hAnsi="Times New Roman" w:eastAsia="方正仿宋_GBK"/>
          <w:sz w:val="30"/>
          <w:szCs w:val="30"/>
        </w:rPr>
        <w:t>%</w:t>
      </w:r>
      <w:r>
        <w:rPr>
          <w:rFonts w:ascii="Times New Roman" w:hAnsi="Times New Roman" w:eastAsia="方正仿宋_GBK"/>
          <w:sz w:val="30"/>
          <w:szCs w:val="30"/>
        </w:rPr>
        <w:t>，同比上升1.1个百分点</w:t>
      </w:r>
      <w:r>
        <w:rPr>
          <w:rFonts w:hint="eastAsia" w:ascii="Times New Roman" w:hAnsi="Times New Roman" w:eastAsia="方正仿宋_GBK"/>
          <w:sz w:val="30"/>
          <w:szCs w:val="30"/>
        </w:rPr>
        <w:t>。</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四川。</w:t>
      </w: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1年，全部可再生能源电力消纳量为2633亿千瓦时，占本省全社会用电量的比重为</w:t>
      </w:r>
      <w:r>
        <w:rPr>
          <w:rFonts w:hint="eastAsia" w:ascii="Times New Roman" w:hAnsi="Times New Roman" w:eastAsia="方正仿宋_GBK"/>
          <w:sz w:val="30"/>
          <w:szCs w:val="30"/>
        </w:rPr>
        <w:t>8</w:t>
      </w:r>
      <w:r>
        <w:rPr>
          <w:rFonts w:ascii="Times New Roman" w:hAnsi="Times New Roman" w:eastAsia="方正仿宋_GBK"/>
          <w:sz w:val="30"/>
          <w:szCs w:val="30"/>
        </w:rPr>
        <w:t>0.4</w:t>
      </w:r>
      <w:r>
        <w:rPr>
          <w:rFonts w:hint="eastAsia" w:ascii="Times New Roman" w:hAnsi="Times New Roman" w:eastAsia="方正仿宋_GBK"/>
          <w:sz w:val="30"/>
          <w:szCs w:val="30"/>
        </w:rPr>
        <w:t>%，同比下降1</w:t>
      </w:r>
      <w:r>
        <w:rPr>
          <w:rFonts w:ascii="Times New Roman" w:hAnsi="Times New Roman" w:eastAsia="方正仿宋_GBK"/>
          <w:sz w:val="30"/>
          <w:szCs w:val="30"/>
        </w:rPr>
        <w:t>.4</w:t>
      </w:r>
      <w:r>
        <w:rPr>
          <w:rFonts w:hint="eastAsia" w:ascii="Times New Roman" w:hAnsi="Times New Roman" w:eastAsia="方正仿宋_GBK"/>
          <w:sz w:val="30"/>
          <w:szCs w:val="30"/>
        </w:rPr>
        <w:t>个百分点</w:t>
      </w:r>
      <w:r>
        <w:rPr>
          <w:rFonts w:ascii="Times New Roman" w:hAnsi="Times New Roman" w:eastAsia="方正仿宋_GBK"/>
          <w:sz w:val="30"/>
          <w:szCs w:val="30"/>
        </w:rPr>
        <w:t>；非水电可再生能源电力消纳量为233亿千瓦时，占本省全社会用电量的比重为</w:t>
      </w:r>
      <w:r>
        <w:rPr>
          <w:rFonts w:hint="eastAsia" w:ascii="Times New Roman" w:hAnsi="Times New Roman" w:eastAsia="方正仿宋_GBK"/>
          <w:sz w:val="30"/>
          <w:szCs w:val="30"/>
        </w:rPr>
        <w:t>7</w:t>
      </w:r>
      <w:r>
        <w:rPr>
          <w:rFonts w:ascii="Times New Roman" w:hAnsi="Times New Roman" w:eastAsia="方正仿宋_GBK"/>
          <w:sz w:val="30"/>
          <w:szCs w:val="30"/>
        </w:rPr>
        <w:t>.1</w:t>
      </w:r>
      <w:r>
        <w:rPr>
          <w:rFonts w:hint="eastAsia" w:ascii="Times New Roman" w:hAnsi="Times New Roman" w:eastAsia="方正仿宋_GBK"/>
          <w:sz w:val="30"/>
          <w:szCs w:val="30"/>
        </w:rPr>
        <w:t>%</w:t>
      </w:r>
      <w:r>
        <w:rPr>
          <w:rFonts w:ascii="Times New Roman" w:hAnsi="Times New Roman" w:eastAsia="方正仿宋_GBK"/>
          <w:sz w:val="30"/>
          <w:szCs w:val="30"/>
        </w:rPr>
        <w:t>，同比上升1.0个百分点。</w:t>
      </w:r>
    </w:p>
    <w:p>
      <w:pPr>
        <w:spacing w:line="600" w:lineRule="exact"/>
        <w:ind w:firstLine="602"/>
        <w:rPr>
          <w:rFonts w:ascii="Times New Roman" w:hAnsi="Times New Roman" w:eastAsia="方正仿宋_GBK"/>
          <w:sz w:val="30"/>
          <w:szCs w:val="30"/>
        </w:rPr>
      </w:pPr>
      <w:r>
        <w:rPr>
          <w:rFonts w:ascii="Times New Roman" w:hAnsi="Times New Roman" w:eastAsia="方正仿宋_GBK"/>
          <w:b/>
          <w:sz w:val="30"/>
          <w:szCs w:val="30"/>
        </w:rPr>
        <w:t>宁夏。</w:t>
      </w: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1年，全部可再生能源电力消纳量</w:t>
      </w:r>
      <w:r>
        <w:rPr>
          <w:rFonts w:hint="eastAsia" w:ascii="Times New Roman" w:hAnsi="Times New Roman" w:eastAsia="方正仿宋_GBK"/>
          <w:sz w:val="30"/>
          <w:szCs w:val="30"/>
        </w:rPr>
        <w:t>为</w:t>
      </w:r>
      <w:r>
        <w:rPr>
          <w:rFonts w:ascii="Times New Roman" w:hAnsi="Times New Roman" w:eastAsia="方正仿宋_GBK"/>
          <w:sz w:val="30"/>
          <w:szCs w:val="30"/>
        </w:rPr>
        <w:t>334亿千瓦时，占本省全社会用电量的比重为</w:t>
      </w:r>
      <w:r>
        <w:rPr>
          <w:rFonts w:hint="eastAsia" w:ascii="Times New Roman" w:hAnsi="Times New Roman" w:eastAsia="方正仿宋_GBK"/>
          <w:sz w:val="30"/>
          <w:szCs w:val="30"/>
        </w:rPr>
        <w:t>2</w:t>
      </w:r>
      <w:r>
        <w:rPr>
          <w:rFonts w:ascii="Times New Roman" w:hAnsi="Times New Roman" w:eastAsia="方正仿宋_GBK"/>
          <w:sz w:val="30"/>
          <w:szCs w:val="30"/>
        </w:rPr>
        <w:t>8.8</w:t>
      </w:r>
      <w:r>
        <w:rPr>
          <w:rFonts w:hint="eastAsia" w:ascii="Times New Roman" w:hAnsi="Times New Roman" w:eastAsia="方正仿宋_GBK"/>
          <w:sz w:val="30"/>
          <w:szCs w:val="30"/>
        </w:rPr>
        <w:t>%</w:t>
      </w:r>
      <w:r>
        <w:rPr>
          <w:rFonts w:ascii="Times New Roman" w:hAnsi="Times New Roman" w:eastAsia="方正仿宋_GBK"/>
          <w:sz w:val="30"/>
          <w:szCs w:val="30"/>
        </w:rPr>
        <w:t>，同比上升2.1个百分点；非水电可再生能源电力消纳量为303亿千瓦时，占本省全社会用电量的比重为</w:t>
      </w:r>
      <w:r>
        <w:rPr>
          <w:rFonts w:hint="eastAsia" w:ascii="Times New Roman" w:hAnsi="Times New Roman" w:eastAsia="方正仿宋_GBK"/>
          <w:sz w:val="30"/>
          <w:szCs w:val="30"/>
        </w:rPr>
        <w:t>2</w:t>
      </w:r>
      <w:r>
        <w:rPr>
          <w:rFonts w:ascii="Times New Roman" w:hAnsi="Times New Roman" w:eastAsia="方正仿宋_GBK"/>
          <w:sz w:val="30"/>
          <w:szCs w:val="30"/>
        </w:rPr>
        <w:t>6.2</w:t>
      </w:r>
      <w:r>
        <w:rPr>
          <w:rFonts w:hint="eastAsia" w:ascii="Times New Roman" w:hAnsi="Times New Roman" w:eastAsia="方正仿宋_GBK"/>
          <w:sz w:val="30"/>
          <w:szCs w:val="30"/>
        </w:rPr>
        <w:t>%</w:t>
      </w:r>
      <w:r>
        <w:rPr>
          <w:rFonts w:ascii="Times New Roman" w:hAnsi="Times New Roman" w:eastAsia="方正仿宋_GBK"/>
          <w:sz w:val="30"/>
          <w:szCs w:val="30"/>
        </w:rPr>
        <w:t>，同比</w:t>
      </w:r>
      <w:r>
        <w:rPr>
          <w:rFonts w:hint="eastAsia" w:ascii="Times New Roman" w:hAnsi="Times New Roman" w:eastAsia="方正仿宋_GBK"/>
          <w:sz w:val="30"/>
          <w:szCs w:val="30"/>
        </w:rPr>
        <w:t>上升</w:t>
      </w:r>
      <w:r>
        <w:rPr>
          <w:rFonts w:ascii="Times New Roman" w:hAnsi="Times New Roman" w:eastAsia="方正仿宋_GBK"/>
          <w:sz w:val="30"/>
          <w:szCs w:val="30"/>
        </w:rPr>
        <w:t>4.8个百分点。</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甘肃。</w:t>
      </w: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1年，全部可再生能源电力消纳量</w:t>
      </w:r>
      <w:r>
        <w:rPr>
          <w:rFonts w:hint="eastAsia" w:ascii="Times New Roman" w:hAnsi="Times New Roman" w:eastAsia="方正仿宋_GBK"/>
          <w:sz w:val="30"/>
          <w:szCs w:val="30"/>
        </w:rPr>
        <w:t>为</w:t>
      </w:r>
      <w:r>
        <w:rPr>
          <w:rFonts w:ascii="Times New Roman" w:hAnsi="Times New Roman" w:eastAsia="方正仿宋_GBK"/>
          <w:sz w:val="30"/>
          <w:szCs w:val="30"/>
        </w:rPr>
        <w:t>701亿千瓦时，占本省全社会用电量的比重为</w:t>
      </w:r>
      <w:r>
        <w:rPr>
          <w:rFonts w:hint="eastAsia" w:ascii="Times New Roman" w:hAnsi="Times New Roman" w:eastAsia="方正仿宋_GBK"/>
          <w:sz w:val="30"/>
          <w:szCs w:val="30"/>
        </w:rPr>
        <w:t>4</w:t>
      </w:r>
      <w:r>
        <w:rPr>
          <w:rFonts w:ascii="Times New Roman" w:hAnsi="Times New Roman" w:eastAsia="方正仿宋_GBK"/>
          <w:sz w:val="30"/>
          <w:szCs w:val="30"/>
        </w:rPr>
        <w:t>6.9</w:t>
      </w:r>
      <w:r>
        <w:rPr>
          <w:rFonts w:hint="eastAsia" w:ascii="Times New Roman" w:hAnsi="Times New Roman" w:eastAsia="方正仿宋_GBK"/>
          <w:sz w:val="30"/>
          <w:szCs w:val="30"/>
        </w:rPr>
        <w:t>%</w:t>
      </w:r>
      <w:r>
        <w:rPr>
          <w:rFonts w:ascii="Times New Roman" w:hAnsi="Times New Roman" w:eastAsia="方正仿宋_GBK"/>
          <w:sz w:val="30"/>
          <w:szCs w:val="30"/>
        </w:rPr>
        <w:t>，同比</w:t>
      </w:r>
      <w:r>
        <w:rPr>
          <w:rFonts w:hint="eastAsia" w:ascii="Times New Roman" w:hAnsi="Times New Roman" w:eastAsia="方正仿宋_GBK"/>
          <w:sz w:val="30"/>
          <w:szCs w:val="30"/>
        </w:rPr>
        <w:t>下降</w:t>
      </w:r>
      <w:r>
        <w:rPr>
          <w:rFonts w:ascii="Times New Roman" w:hAnsi="Times New Roman" w:eastAsia="方正仿宋_GBK"/>
          <w:sz w:val="30"/>
          <w:szCs w:val="30"/>
        </w:rPr>
        <w:t>5.6个百分点；非水电可再生能源电力消纳量为283亿千瓦时，占本省全社会用电量的比重为18.9%，同比</w:t>
      </w:r>
      <w:r>
        <w:rPr>
          <w:rFonts w:hint="eastAsia" w:ascii="Times New Roman" w:hAnsi="Times New Roman" w:eastAsia="方正仿宋_GBK"/>
          <w:sz w:val="30"/>
          <w:szCs w:val="30"/>
        </w:rPr>
        <w:t>上升</w:t>
      </w:r>
      <w:r>
        <w:rPr>
          <w:rFonts w:ascii="Times New Roman" w:hAnsi="Times New Roman" w:eastAsia="方正仿宋_GBK"/>
          <w:sz w:val="30"/>
          <w:szCs w:val="30"/>
        </w:rPr>
        <w:t>1.1个百分点。</w:t>
      </w:r>
    </w:p>
    <w:p>
      <w:pPr>
        <w:spacing w:line="588" w:lineRule="exact"/>
        <w:ind w:firstLine="600" w:firstLineChars="200"/>
        <w:rPr>
          <w:szCs w:val="30"/>
        </w:rPr>
      </w:pPr>
      <w:r>
        <w:rPr>
          <w:rFonts w:ascii="Times New Roman" w:hAnsi="Times New Roman" w:eastAsia="方正仿宋_GBK"/>
          <w:b/>
          <w:sz w:val="30"/>
          <w:szCs w:val="30"/>
        </w:rPr>
        <w:t>青海。</w:t>
      </w:r>
      <w:r>
        <w:rPr>
          <w:rFonts w:ascii="Times New Roman" w:hAnsi="Times New Roman" w:eastAsia="方正仿宋_GBK"/>
          <w:sz w:val="30"/>
          <w:szCs w:val="30"/>
        </w:rPr>
        <w:t>20</w:t>
      </w:r>
      <w:r>
        <w:rPr>
          <w:rFonts w:hint="eastAsia" w:ascii="Times New Roman" w:hAnsi="Times New Roman" w:eastAsia="方正仿宋_GBK"/>
          <w:sz w:val="30"/>
          <w:szCs w:val="30"/>
        </w:rPr>
        <w:t>2</w:t>
      </w:r>
      <w:r>
        <w:rPr>
          <w:rFonts w:ascii="Times New Roman" w:hAnsi="Times New Roman" w:eastAsia="方正仿宋_GBK"/>
          <w:sz w:val="30"/>
          <w:szCs w:val="30"/>
        </w:rPr>
        <w:t>1年，全部可再生能源电力消纳量为</w:t>
      </w:r>
      <w:r>
        <w:rPr>
          <w:rFonts w:hint="eastAsia" w:ascii="Times New Roman" w:hAnsi="Times New Roman" w:eastAsia="方正仿宋_GBK"/>
          <w:sz w:val="30"/>
          <w:szCs w:val="30"/>
        </w:rPr>
        <w:t>6</w:t>
      </w:r>
      <w:r>
        <w:rPr>
          <w:rFonts w:ascii="Times New Roman" w:hAnsi="Times New Roman" w:eastAsia="方正仿宋_GBK"/>
          <w:sz w:val="30"/>
          <w:szCs w:val="30"/>
        </w:rPr>
        <w:t>62亿千瓦时，占本省全社会用电量的比重为</w:t>
      </w:r>
      <w:r>
        <w:rPr>
          <w:rFonts w:hint="eastAsia" w:ascii="Times New Roman" w:hAnsi="Times New Roman" w:eastAsia="方正仿宋_GBK"/>
          <w:sz w:val="30"/>
          <w:szCs w:val="30"/>
        </w:rPr>
        <w:t>7</w:t>
      </w:r>
      <w:r>
        <w:rPr>
          <w:rFonts w:ascii="Times New Roman" w:hAnsi="Times New Roman" w:eastAsia="方正仿宋_GBK"/>
          <w:sz w:val="30"/>
          <w:szCs w:val="30"/>
        </w:rPr>
        <w:t>7.1</w:t>
      </w:r>
      <w:r>
        <w:rPr>
          <w:rFonts w:hint="eastAsia" w:ascii="Times New Roman" w:hAnsi="Times New Roman" w:eastAsia="方正仿宋_GBK"/>
          <w:sz w:val="30"/>
          <w:szCs w:val="30"/>
        </w:rPr>
        <w:t>%</w:t>
      </w:r>
      <w:r>
        <w:rPr>
          <w:rFonts w:ascii="Times New Roman" w:hAnsi="Times New Roman" w:eastAsia="方正仿宋_GBK"/>
          <w:sz w:val="30"/>
          <w:szCs w:val="30"/>
        </w:rPr>
        <w:t>，同比</w:t>
      </w:r>
      <w:r>
        <w:rPr>
          <w:rFonts w:hint="eastAsia" w:ascii="Times New Roman" w:hAnsi="Times New Roman" w:eastAsia="方正仿宋_GBK"/>
          <w:sz w:val="30"/>
          <w:szCs w:val="30"/>
        </w:rPr>
        <w:t>下降</w:t>
      </w:r>
      <w:r>
        <w:rPr>
          <w:rFonts w:ascii="Times New Roman" w:hAnsi="Times New Roman" w:eastAsia="方正仿宋_GBK"/>
          <w:sz w:val="30"/>
          <w:szCs w:val="30"/>
        </w:rPr>
        <w:t>7.6个百分点；非水电可再生能源电力消纳量为251亿千瓦时，占本省全社会用电量的比重约为</w:t>
      </w:r>
      <w:r>
        <w:rPr>
          <w:rFonts w:hint="eastAsia" w:ascii="Times New Roman" w:hAnsi="Times New Roman" w:eastAsia="方正仿宋_GBK"/>
          <w:sz w:val="30"/>
          <w:szCs w:val="30"/>
        </w:rPr>
        <w:t>2</w:t>
      </w:r>
      <w:r>
        <w:rPr>
          <w:rFonts w:ascii="Times New Roman" w:hAnsi="Times New Roman" w:eastAsia="方正仿宋_GBK"/>
          <w:sz w:val="30"/>
          <w:szCs w:val="30"/>
        </w:rPr>
        <w:t>9.3</w:t>
      </w:r>
      <w:r>
        <w:rPr>
          <w:rFonts w:hint="eastAsia" w:ascii="Times New Roman" w:hAnsi="Times New Roman" w:eastAsia="方正仿宋_GBK"/>
          <w:sz w:val="30"/>
          <w:szCs w:val="30"/>
        </w:rPr>
        <w:t>%</w:t>
      </w:r>
      <w:r>
        <w:rPr>
          <w:rFonts w:ascii="Times New Roman" w:hAnsi="Times New Roman" w:eastAsia="方正仿宋_GBK"/>
          <w:sz w:val="30"/>
          <w:szCs w:val="30"/>
        </w:rPr>
        <w:t>，</w:t>
      </w:r>
      <w:r>
        <w:rPr>
          <w:rFonts w:hint="eastAsia" w:ascii="Times New Roman" w:hAnsi="Times New Roman" w:eastAsia="方正仿宋_GBK"/>
          <w:sz w:val="30"/>
          <w:szCs w:val="30"/>
        </w:rPr>
        <w:t>同比上升</w:t>
      </w:r>
      <w:r>
        <w:rPr>
          <w:rFonts w:ascii="Times New Roman" w:hAnsi="Times New Roman" w:eastAsia="方正仿宋_GBK"/>
          <w:sz w:val="30"/>
          <w:szCs w:val="30"/>
        </w:rPr>
        <w:t>3.9</w:t>
      </w:r>
      <w:r>
        <w:rPr>
          <w:rFonts w:hint="eastAsia" w:ascii="Times New Roman" w:hAnsi="Times New Roman" w:eastAsia="方正仿宋_GBK"/>
          <w:sz w:val="30"/>
          <w:szCs w:val="30"/>
        </w:rPr>
        <w:t>个百分点。</w:t>
      </w:r>
    </w:p>
    <w:sectPr>
      <w:footerReference r:id="rId6"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331074"/>
      <w:docPartObj>
        <w:docPartGallery w:val="autotext"/>
      </w:docPartObj>
    </w:sdtPr>
    <w:sdtContent>
      <w:p>
        <w:pPr>
          <w:pStyle w:val="9"/>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_GB2312" w:hAnsi="宋体" w:eastAsia="仿宋_GB2312"/>
        <w:caps/>
        <w:sz w:val="28"/>
        <w:szCs w:val="28"/>
      </w:rPr>
      <w:t>—</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6</w:t>
    </w:r>
    <w:r>
      <w:rPr>
        <w:rFonts w:ascii="Times New Roman" w:hAnsi="Times New Roman" w:eastAsia="仿宋_GB2312"/>
        <w:caps/>
        <w:sz w:val="28"/>
        <w:szCs w:val="28"/>
      </w:rPr>
      <w:fldChar w:fldCharType="end"/>
    </w:r>
    <w:r>
      <w:rPr>
        <w:rFonts w:ascii="仿宋_GB2312" w:hAnsi="宋体" w:eastAsia="仿宋_GB2312"/>
        <w:caps/>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仿宋_GB2312" w:hAnsi="宋体" w:eastAsia="仿宋_GB2312"/>
        <w:caps/>
        <w:sz w:val="28"/>
        <w:szCs w:val="28"/>
      </w:rPr>
      <w:t>—</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8</w:t>
    </w:r>
    <w:r>
      <w:rPr>
        <w:rFonts w:ascii="Times New Roman" w:hAnsi="Times New Roman" w:eastAsia="仿宋_GB2312"/>
        <w:caps/>
        <w:sz w:val="28"/>
        <w:szCs w:val="28"/>
      </w:rPr>
      <w:fldChar w:fldCharType="end"/>
    </w:r>
    <w:r>
      <w:rPr>
        <w:rFonts w:ascii="仿宋_GB2312" w:hAnsi="宋体" w:eastAsia="仿宋_GB2312"/>
        <w:caps/>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_GB2312" w:hAnsi="宋体" w:eastAsia="仿宋_GB2312"/>
        <w:caps/>
        <w:sz w:val="28"/>
        <w:szCs w:val="28"/>
      </w:rPr>
      <w:t>—</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14</w:t>
    </w:r>
    <w:r>
      <w:rPr>
        <w:rFonts w:ascii="Times New Roman" w:hAnsi="Times New Roman" w:eastAsia="仿宋_GB2312"/>
        <w:caps/>
        <w:sz w:val="28"/>
        <w:szCs w:val="28"/>
      </w:rPr>
      <w:fldChar w:fldCharType="end"/>
    </w:r>
    <w:r>
      <w:rPr>
        <w:rFonts w:ascii="仿宋_GB2312" w:hAnsi="宋体" w:eastAsia="仿宋_GB2312"/>
        <w:caps/>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kZmUyMzM2ZTY2MjQyYzY5N2RlZjdlNDRkYzViODUifQ=="/>
  </w:docVars>
  <w:rsids>
    <w:rsidRoot w:val="008005B7"/>
    <w:rsid w:val="0000028A"/>
    <w:rsid w:val="00000C2E"/>
    <w:rsid w:val="00001587"/>
    <w:rsid w:val="00001EF1"/>
    <w:rsid w:val="00002474"/>
    <w:rsid w:val="000024C6"/>
    <w:rsid w:val="000028BA"/>
    <w:rsid w:val="00002A3E"/>
    <w:rsid w:val="00002B72"/>
    <w:rsid w:val="0000362E"/>
    <w:rsid w:val="00003F85"/>
    <w:rsid w:val="00003FD7"/>
    <w:rsid w:val="00004297"/>
    <w:rsid w:val="000043D8"/>
    <w:rsid w:val="00005142"/>
    <w:rsid w:val="0000584E"/>
    <w:rsid w:val="00006047"/>
    <w:rsid w:val="00006615"/>
    <w:rsid w:val="00007436"/>
    <w:rsid w:val="0000743D"/>
    <w:rsid w:val="00010868"/>
    <w:rsid w:val="0001161B"/>
    <w:rsid w:val="00011656"/>
    <w:rsid w:val="000117AE"/>
    <w:rsid w:val="0001247E"/>
    <w:rsid w:val="00012BC6"/>
    <w:rsid w:val="00012E3A"/>
    <w:rsid w:val="00012FA9"/>
    <w:rsid w:val="00013F43"/>
    <w:rsid w:val="00014567"/>
    <w:rsid w:val="000145F8"/>
    <w:rsid w:val="000151E2"/>
    <w:rsid w:val="000157A5"/>
    <w:rsid w:val="00015EC0"/>
    <w:rsid w:val="00016038"/>
    <w:rsid w:val="00016940"/>
    <w:rsid w:val="00016F07"/>
    <w:rsid w:val="00016F11"/>
    <w:rsid w:val="00017072"/>
    <w:rsid w:val="00017197"/>
    <w:rsid w:val="00017C2F"/>
    <w:rsid w:val="0002004D"/>
    <w:rsid w:val="000202B8"/>
    <w:rsid w:val="000216E9"/>
    <w:rsid w:val="0002188D"/>
    <w:rsid w:val="0002193A"/>
    <w:rsid w:val="00021BBE"/>
    <w:rsid w:val="00021F33"/>
    <w:rsid w:val="00022F33"/>
    <w:rsid w:val="0002315A"/>
    <w:rsid w:val="00023224"/>
    <w:rsid w:val="00023244"/>
    <w:rsid w:val="0002369D"/>
    <w:rsid w:val="00023BA0"/>
    <w:rsid w:val="00023D77"/>
    <w:rsid w:val="00024817"/>
    <w:rsid w:val="00024A07"/>
    <w:rsid w:val="00024CB3"/>
    <w:rsid w:val="00024D47"/>
    <w:rsid w:val="00024D73"/>
    <w:rsid w:val="000250C6"/>
    <w:rsid w:val="00025258"/>
    <w:rsid w:val="00025495"/>
    <w:rsid w:val="000257CD"/>
    <w:rsid w:val="00025A91"/>
    <w:rsid w:val="00025CC1"/>
    <w:rsid w:val="00026651"/>
    <w:rsid w:val="00026BF4"/>
    <w:rsid w:val="000271DF"/>
    <w:rsid w:val="00027BDE"/>
    <w:rsid w:val="00027C1C"/>
    <w:rsid w:val="00030444"/>
    <w:rsid w:val="000304F3"/>
    <w:rsid w:val="00030A4B"/>
    <w:rsid w:val="00030D34"/>
    <w:rsid w:val="00030D5E"/>
    <w:rsid w:val="0003104D"/>
    <w:rsid w:val="000314B2"/>
    <w:rsid w:val="00031A31"/>
    <w:rsid w:val="00032102"/>
    <w:rsid w:val="00032A3D"/>
    <w:rsid w:val="00032AA1"/>
    <w:rsid w:val="0003471A"/>
    <w:rsid w:val="00034EF8"/>
    <w:rsid w:val="00035B1B"/>
    <w:rsid w:val="00036343"/>
    <w:rsid w:val="0003634C"/>
    <w:rsid w:val="0003687D"/>
    <w:rsid w:val="00037013"/>
    <w:rsid w:val="00037AB9"/>
    <w:rsid w:val="00037CC3"/>
    <w:rsid w:val="00037E6A"/>
    <w:rsid w:val="000405E5"/>
    <w:rsid w:val="000406A4"/>
    <w:rsid w:val="00040762"/>
    <w:rsid w:val="000409C5"/>
    <w:rsid w:val="00044247"/>
    <w:rsid w:val="0004504C"/>
    <w:rsid w:val="000458B3"/>
    <w:rsid w:val="00045A1D"/>
    <w:rsid w:val="00045EF5"/>
    <w:rsid w:val="00046689"/>
    <w:rsid w:val="00046A87"/>
    <w:rsid w:val="00047C49"/>
    <w:rsid w:val="00050069"/>
    <w:rsid w:val="00051877"/>
    <w:rsid w:val="00051A4A"/>
    <w:rsid w:val="00052DCC"/>
    <w:rsid w:val="00053A91"/>
    <w:rsid w:val="000540A0"/>
    <w:rsid w:val="00054BF9"/>
    <w:rsid w:val="00055CF4"/>
    <w:rsid w:val="00055D66"/>
    <w:rsid w:val="000562C0"/>
    <w:rsid w:val="00056A1F"/>
    <w:rsid w:val="00056B3C"/>
    <w:rsid w:val="00056B3F"/>
    <w:rsid w:val="00056C9E"/>
    <w:rsid w:val="00056D7B"/>
    <w:rsid w:val="0005745B"/>
    <w:rsid w:val="00057668"/>
    <w:rsid w:val="000578E0"/>
    <w:rsid w:val="0005798A"/>
    <w:rsid w:val="00060CB2"/>
    <w:rsid w:val="00060E48"/>
    <w:rsid w:val="00061453"/>
    <w:rsid w:val="0006211A"/>
    <w:rsid w:val="000623F7"/>
    <w:rsid w:val="00062666"/>
    <w:rsid w:val="000627E5"/>
    <w:rsid w:val="000629CD"/>
    <w:rsid w:val="00062FCC"/>
    <w:rsid w:val="00063427"/>
    <w:rsid w:val="0006387E"/>
    <w:rsid w:val="00063987"/>
    <w:rsid w:val="00064282"/>
    <w:rsid w:val="00064382"/>
    <w:rsid w:val="00065658"/>
    <w:rsid w:val="000657A4"/>
    <w:rsid w:val="00065CF7"/>
    <w:rsid w:val="00065E59"/>
    <w:rsid w:val="00066899"/>
    <w:rsid w:val="00066AA0"/>
    <w:rsid w:val="00066E21"/>
    <w:rsid w:val="00066EC8"/>
    <w:rsid w:val="00067125"/>
    <w:rsid w:val="0006729E"/>
    <w:rsid w:val="00067C3F"/>
    <w:rsid w:val="00067EA0"/>
    <w:rsid w:val="00070027"/>
    <w:rsid w:val="00070A31"/>
    <w:rsid w:val="00070E9D"/>
    <w:rsid w:val="000722F5"/>
    <w:rsid w:val="000734B9"/>
    <w:rsid w:val="00073FE2"/>
    <w:rsid w:val="000743ED"/>
    <w:rsid w:val="00074D66"/>
    <w:rsid w:val="000758F2"/>
    <w:rsid w:val="00075D91"/>
    <w:rsid w:val="0008039C"/>
    <w:rsid w:val="00080527"/>
    <w:rsid w:val="0008054B"/>
    <w:rsid w:val="00080775"/>
    <w:rsid w:val="000809AB"/>
    <w:rsid w:val="0008111F"/>
    <w:rsid w:val="000813B9"/>
    <w:rsid w:val="00082262"/>
    <w:rsid w:val="00082432"/>
    <w:rsid w:val="00082E45"/>
    <w:rsid w:val="00083409"/>
    <w:rsid w:val="00083FA8"/>
    <w:rsid w:val="000850F5"/>
    <w:rsid w:val="000863D1"/>
    <w:rsid w:val="00086A4E"/>
    <w:rsid w:val="00087029"/>
    <w:rsid w:val="000874D6"/>
    <w:rsid w:val="000900DB"/>
    <w:rsid w:val="00090539"/>
    <w:rsid w:val="00090BAD"/>
    <w:rsid w:val="00090FAF"/>
    <w:rsid w:val="000911C7"/>
    <w:rsid w:val="000914B7"/>
    <w:rsid w:val="00091B60"/>
    <w:rsid w:val="00091C65"/>
    <w:rsid w:val="0009290E"/>
    <w:rsid w:val="00092CA5"/>
    <w:rsid w:val="00092FAD"/>
    <w:rsid w:val="000931C5"/>
    <w:rsid w:val="0009335D"/>
    <w:rsid w:val="00093896"/>
    <w:rsid w:val="00093DFB"/>
    <w:rsid w:val="00093F1D"/>
    <w:rsid w:val="00094512"/>
    <w:rsid w:val="00095186"/>
    <w:rsid w:val="0009531D"/>
    <w:rsid w:val="00096A16"/>
    <w:rsid w:val="000971AD"/>
    <w:rsid w:val="00097BED"/>
    <w:rsid w:val="00097DDD"/>
    <w:rsid w:val="000A002D"/>
    <w:rsid w:val="000A02DB"/>
    <w:rsid w:val="000A0803"/>
    <w:rsid w:val="000A21CC"/>
    <w:rsid w:val="000A28D0"/>
    <w:rsid w:val="000A2D7E"/>
    <w:rsid w:val="000A2DB7"/>
    <w:rsid w:val="000A2FA7"/>
    <w:rsid w:val="000A39BF"/>
    <w:rsid w:val="000A3CB9"/>
    <w:rsid w:val="000A45C2"/>
    <w:rsid w:val="000A5A79"/>
    <w:rsid w:val="000A6ADF"/>
    <w:rsid w:val="000A7766"/>
    <w:rsid w:val="000A7A46"/>
    <w:rsid w:val="000B01FF"/>
    <w:rsid w:val="000B0AAF"/>
    <w:rsid w:val="000B10E2"/>
    <w:rsid w:val="000B10E7"/>
    <w:rsid w:val="000B20C3"/>
    <w:rsid w:val="000B20C9"/>
    <w:rsid w:val="000B250F"/>
    <w:rsid w:val="000B2684"/>
    <w:rsid w:val="000B2A13"/>
    <w:rsid w:val="000B2B11"/>
    <w:rsid w:val="000B2B99"/>
    <w:rsid w:val="000B2E85"/>
    <w:rsid w:val="000B2E89"/>
    <w:rsid w:val="000B301E"/>
    <w:rsid w:val="000B387E"/>
    <w:rsid w:val="000B3A9B"/>
    <w:rsid w:val="000B3C16"/>
    <w:rsid w:val="000B3C64"/>
    <w:rsid w:val="000B3CBD"/>
    <w:rsid w:val="000B3ECD"/>
    <w:rsid w:val="000B4310"/>
    <w:rsid w:val="000B4434"/>
    <w:rsid w:val="000B4840"/>
    <w:rsid w:val="000B49F7"/>
    <w:rsid w:val="000B511F"/>
    <w:rsid w:val="000B5841"/>
    <w:rsid w:val="000B5ED1"/>
    <w:rsid w:val="000B6164"/>
    <w:rsid w:val="000B6921"/>
    <w:rsid w:val="000B77A0"/>
    <w:rsid w:val="000C01FA"/>
    <w:rsid w:val="000C067C"/>
    <w:rsid w:val="000C103A"/>
    <w:rsid w:val="000C2348"/>
    <w:rsid w:val="000C2A89"/>
    <w:rsid w:val="000C2E1B"/>
    <w:rsid w:val="000C3114"/>
    <w:rsid w:val="000C3279"/>
    <w:rsid w:val="000C32A3"/>
    <w:rsid w:val="000C3421"/>
    <w:rsid w:val="000C3437"/>
    <w:rsid w:val="000C4A58"/>
    <w:rsid w:val="000C55EE"/>
    <w:rsid w:val="000C59D6"/>
    <w:rsid w:val="000C6A73"/>
    <w:rsid w:val="000C6BD7"/>
    <w:rsid w:val="000C7247"/>
    <w:rsid w:val="000C7838"/>
    <w:rsid w:val="000C7BB1"/>
    <w:rsid w:val="000D00F5"/>
    <w:rsid w:val="000D0FA2"/>
    <w:rsid w:val="000D0FD1"/>
    <w:rsid w:val="000D1398"/>
    <w:rsid w:val="000D159C"/>
    <w:rsid w:val="000D15B7"/>
    <w:rsid w:val="000D1E04"/>
    <w:rsid w:val="000D368C"/>
    <w:rsid w:val="000D4A3A"/>
    <w:rsid w:val="000D542C"/>
    <w:rsid w:val="000D54B5"/>
    <w:rsid w:val="000D5A8A"/>
    <w:rsid w:val="000D5DD7"/>
    <w:rsid w:val="000D6BCE"/>
    <w:rsid w:val="000D6DE3"/>
    <w:rsid w:val="000D7393"/>
    <w:rsid w:val="000D749F"/>
    <w:rsid w:val="000D763B"/>
    <w:rsid w:val="000D79D6"/>
    <w:rsid w:val="000D7C14"/>
    <w:rsid w:val="000D7CF4"/>
    <w:rsid w:val="000D7D53"/>
    <w:rsid w:val="000D7E63"/>
    <w:rsid w:val="000E0052"/>
    <w:rsid w:val="000E03F3"/>
    <w:rsid w:val="000E06CA"/>
    <w:rsid w:val="000E0B34"/>
    <w:rsid w:val="000E18FE"/>
    <w:rsid w:val="000E1A4E"/>
    <w:rsid w:val="000E2A61"/>
    <w:rsid w:val="000E3819"/>
    <w:rsid w:val="000E38E5"/>
    <w:rsid w:val="000E3EBA"/>
    <w:rsid w:val="000E42C1"/>
    <w:rsid w:val="000E49BF"/>
    <w:rsid w:val="000E5446"/>
    <w:rsid w:val="000E5C84"/>
    <w:rsid w:val="000E5E3F"/>
    <w:rsid w:val="000E609E"/>
    <w:rsid w:val="000E6146"/>
    <w:rsid w:val="000E7431"/>
    <w:rsid w:val="000E7CD3"/>
    <w:rsid w:val="000E7FC2"/>
    <w:rsid w:val="000F01FB"/>
    <w:rsid w:val="000F0206"/>
    <w:rsid w:val="000F0945"/>
    <w:rsid w:val="000F0C6A"/>
    <w:rsid w:val="000F0F84"/>
    <w:rsid w:val="000F159B"/>
    <w:rsid w:val="000F180D"/>
    <w:rsid w:val="000F2055"/>
    <w:rsid w:val="000F2829"/>
    <w:rsid w:val="000F296E"/>
    <w:rsid w:val="000F3623"/>
    <w:rsid w:val="000F3791"/>
    <w:rsid w:val="000F37F4"/>
    <w:rsid w:val="000F3B5D"/>
    <w:rsid w:val="000F4537"/>
    <w:rsid w:val="000F4D33"/>
    <w:rsid w:val="000F506C"/>
    <w:rsid w:val="000F593B"/>
    <w:rsid w:val="000F70EB"/>
    <w:rsid w:val="000F763C"/>
    <w:rsid w:val="00100B53"/>
    <w:rsid w:val="00100C46"/>
    <w:rsid w:val="001015C7"/>
    <w:rsid w:val="001017FC"/>
    <w:rsid w:val="00101BEB"/>
    <w:rsid w:val="00102351"/>
    <w:rsid w:val="001025D1"/>
    <w:rsid w:val="00102B3B"/>
    <w:rsid w:val="00102CBD"/>
    <w:rsid w:val="00104677"/>
    <w:rsid w:val="00104766"/>
    <w:rsid w:val="00105141"/>
    <w:rsid w:val="0010649E"/>
    <w:rsid w:val="00106689"/>
    <w:rsid w:val="00106EF2"/>
    <w:rsid w:val="001073C2"/>
    <w:rsid w:val="00107A21"/>
    <w:rsid w:val="00110101"/>
    <w:rsid w:val="0011142D"/>
    <w:rsid w:val="00111617"/>
    <w:rsid w:val="0011199A"/>
    <w:rsid w:val="0011265B"/>
    <w:rsid w:val="001129DA"/>
    <w:rsid w:val="00112CAE"/>
    <w:rsid w:val="00113455"/>
    <w:rsid w:val="0011362C"/>
    <w:rsid w:val="00113B5F"/>
    <w:rsid w:val="001145D4"/>
    <w:rsid w:val="0011476A"/>
    <w:rsid w:val="00115C87"/>
    <w:rsid w:val="00115DAA"/>
    <w:rsid w:val="0011628C"/>
    <w:rsid w:val="001163E8"/>
    <w:rsid w:val="00116B6E"/>
    <w:rsid w:val="001172F7"/>
    <w:rsid w:val="00117851"/>
    <w:rsid w:val="00117A90"/>
    <w:rsid w:val="0012034D"/>
    <w:rsid w:val="00120AFC"/>
    <w:rsid w:val="001218A8"/>
    <w:rsid w:val="001219EB"/>
    <w:rsid w:val="00121FA5"/>
    <w:rsid w:val="001231D5"/>
    <w:rsid w:val="00123550"/>
    <w:rsid w:val="00123B29"/>
    <w:rsid w:val="00123E0E"/>
    <w:rsid w:val="00124428"/>
    <w:rsid w:val="001247D5"/>
    <w:rsid w:val="00125453"/>
    <w:rsid w:val="0012553C"/>
    <w:rsid w:val="0012632B"/>
    <w:rsid w:val="00126ADE"/>
    <w:rsid w:val="0012759C"/>
    <w:rsid w:val="0012781F"/>
    <w:rsid w:val="00127A93"/>
    <w:rsid w:val="00127E0F"/>
    <w:rsid w:val="001304CB"/>
    <w:rsid w:val="00130726"/>
    <w:rsid w:val="0013103F"/>
    <w:rsid w:val="00131340"/>
    <w:rsid w:val="00131BBC"/>
    <w:rsid w:val="00131E3A"/>
    <w:rsid w:val="001322E4"/>
    <w:rsid w:val="00132890"/>
    <w:rsid w:val="00132898"/>
    <w:rsid w:val="00132D9A"/>
    <w:rsid w:val="00132E90"/>
    <w:rsid w:val="0013455A"/>
    <w:rsid w:val="00134573"/>
    <w:rsid w:val="00134D26"/>
    <w:rsid w:val="0013507C"/>
    <w:rsid w:val="001354C7"/>
    <w:rsid w:val="00135AF0"/>
    <w:rsid w:val="00135E1D"/>
    <w:rsid w:val="00136D3D"/>
    <w:rsid w:val="0013706C"/>
    <w:rsid w:val="001370FA"/>
    <w:rsid w:val="00137224"/>
    <w:rsid w:val="00140158"/>
    <w:rsid w:val="001407A4"/>
    <w:rsid w:val="001407F5"/>
    <w:rsid w:val="00141933"/>
    <w:rsid w:val="00141AC8"/>
    <w:rsid w:val="0014239A"/>
    <w:rsid w:val="00143AD3"/>
    <w:rsid w:val="00143E55"/>
    <w:rsid w:val="0014437F"/>
    <w:rsid w:val="00144A2D"/>
    <w:rsid w:val="00145196"/>
    <w:rsid w:val="0014730B"/>
    <w:rsid w:val="00147D08"/>
    <w:rsid w:val="001503FD"/>
    <w:rsid w:val="001516AE"/>
    <w:rsid w:val="00151E9F"/>
    <w:rsid w:val="00152401"/>
    <w:rsid w:val="0015250A"/>
    <w:rsid w:val="00153B85"/>
    <w:rsid w:val="00153D94"/>
    <w:rsid w:val="00154CCF"/>
    <w:rsid w:val="00154E31"/>
    <w:rsid w:val="0015508D"/>
    <w:rsid w:val="00155278"/>
    <w:rsid w:val="0015556D"/>
    <w:rsid w:val="00155921"/>
    <w:rsid w:val="00156063"/>
    <w:rsid w:val="00157E2C"/>
    <w:rsid w:val="00160752"/>
    <w:rsid w:val="00160F94"/>
    <w:rsid w:val="00161122"/>
    <w:rsid w:val="001612D5"/>
    <w:rsid w:val="00161593"/>
    <w:rsid w:val="0016246C"/>
    <w:rsid w:val="001629F2"/>
    <w:rsid w:val="00163857"/>
    <w:rsid w:val="00164D5B"/>
    <w:rsid w:val="00166B92"/>
    <w:rsid w:val="00166C09"/>
    <w:rsid w:val="00166E82"/>
    <w:rsid w:val="00166E96"/>
    <w:rsid w:val="00167041"/>
    <w:rsid w:val="00170252"/>
    <w:rsid w:val="001706AE"/>
    <w:rsid w:val="00170EFE"/>
    <w:rsid w:val="0017102C"/>
    <w:rsid w:val="001710C2"/>
    <w:rsid w:val="00171479"/>
    <w:rsid w:val="001714F7"/>
    <w:rsid w:val="00171575"/>
    <w:rsid w:val="00171645"/>
    <w:rsid w:val="001718B1"/>
    <w:rsid w:val="001719A5"/>
    <w:rsid w:val="00172B83"/>
    <w:rsid w:val="00173790"/>
    <w:rsid w:val="00173CEB"/>
    <w:rsid w:val="00173E76"/>
    <w:rsid w:val="001744BD"/>
    <w:rsid w:val="00175194"/>
    <w:rsid w:val="00176922"/>
    <w:rsid w:val="00176CAD"/>
    <w:rsid w:val="00176DD6"/>
    <w:rsid w:val="00177DD6"/>
    <w:rsid w:val="00177EB8"/>
    <w:rsid w:val="00180121"/>
    <w:rsid w:val="00180926"/>
    <w:rsid w:val="00180C5D"/>
    <w:rsid w:val="00180E07"/>
    <w:rsid w:val="0018157D"/>
    <w:rsid w:val="0018159A"/>
    <w:rsid w:val="00181D45"/>
    <w:rsid w:val="00183479"/>
    <w:rsid w:val="0018353D"/>
    <w:rsid w:val="00183619"/>
    <w:rsid w:val="00184082"/>
    <w:rsid w:val="0018451C"/>
    <w:rsid w:val="0018483A"/>
    <w:rsid w:val="00184F0F"/>
    <w:rsid w:val="001858C0"/>
    <w:rsid w:val="00185F13"/>
    <w:rsid w:val="00186074"/>
    <w:rsid w:val="00186656"/>
    <w:rsid w:val="00187FBE"/>
    <w:rsid w:val="00190906"/>
    <w:rsid w:val="00191535"/>
    <w:rsid w:val="00191EFC"/>
    <w:rsid w:val="00192781"/>
    <w:rsid w:val="00192B2B"/>
    <w:rsid w:val="00193A3D"/>
    <w:rsid w:val="00193AA9"/>
    <w:rsid w:val="00193E38"/>
    <w:rsid w:val="001942F5"/>
    <w:rsid w:val="00194CDF"/>
    <w:rsid w:val="001951BF"/>
    <w:rsid w:val="001955EE"/>
    <w:rsid w:val="00195FEA"/>
    <w:rsid w:val="001964E3"/>
    <w:rsid w:val="00196528"/>
    <w:rsid w:val="00196F27"/>
    <w:rsid w:val="00197F25"/>
    <w:rsid w:val="001A08B9"/>
    <w:rsid w:val="001A0BCA"/>
    <w:rsid w:val="001A11E4"/>
    <w:rsid w:val="001A1A7C"/>
    <w:rsid w:val="001A2383"/>
    <w:rsid w:val="001A2C2C"/>
    <w:rsid w:val="001A313C"/>
    <w:rsid w:val="001A34D0"/>
    <w:rsid w:val="001A4EA5"/>
    <w:rsid w:val="001A6346"/>
    <w:rsid w:val="001A636D"/>
    <w:rsid w:val="001A68DA"/>
    <w:rsid w:val="001A6BFD"/>
    <w:rsid w:val="001A6EC2"/>
    <w:rsid w:val="001A6F56"/>
    <w:rsid w:val="001A6F79"/>
    <w:rsid w:val="001A7155"/>
    <w:rsid w:val="001A73B2"/>
    <w:rsid w:val="001B0510"/>
    <w:rsid w:val="001B082A"/>
    <w:rsid w:val="001B1545"/>
    <w:rsid w:val="001B161D"/>
    <w:rsid w:val="001B212F"/>
    <w:rsid w:val="001B231F"/>
    <w:rsid w:val="001B24A1"/>
    <w:rsid w:val="001B322C"/>
    <w:rsid w:val="001B3659"/>
    <w:rsid w:val="001B369E"/>
    <w:rsid w:val="001B3943"/>
    <w:rsid w:val="001B52E7"/>
    <w:rsid w:val="001B5F85"/>
    <w:rsid w:val="001B6A9D"/>
    <w:rsid w:val="001B6DA4"/>
    <w:rsid w:val="001B703E"/>
    <w:rsid w:val="001B772E"/>
    <w:rsid w:val="001C0097"/>
    <w:rsid w:val="001C04FD"/>
    <w:rsid w:val="001C0C46"/>
    <w:rsid w:val="001C13B3"/>
    <w:rsid w:val="001C1B29"/>
    <w:rsid w:val="001C1E4A"/>
    <w:rsid w:val="001C368B"/>
    <w:rsid w:val="001C3A06"/>
    <w:rsid w:val="001C3EFE"/>
    <w:rsid w:val="001C4651"/>
    <w:rsid w:val="001C5574"/>
    <w:rsid w:val="001C63D1"/>
    <w:rsid w:val="001C64E4"/>
    <w:rsid w:val="001D0129"/>
    <w:rsid w:val="001D07CB"/>
    <w:rsid w:val="001D1A0D"/>
    <w:rsid w:val="001D2268"/>
    <w:rsid w:val="001D230E"/>
    <w:rsid w:val="001D2773"/>
    <w:rsid w:val="001D2E61"/>
    <w:rsid w:val="001D38B3"/>
    <w:rsid w:val="001D3B2A"/>
    <w:rsid w:val="001D4012"/>
    <w:rsid w:val="001D4241"/>
    <w:rsid w:val="001D4264"/>
    <w:rsid w:val="001D490C"/>
    <w:rsid w:val="001D4ACA"/>
    <w:rsid w:val="001D4BC2"/>
    <w:rsid w:val="001D4C07"/>
    <w:rsid w:val="001D5F03"/>
    <w:rsid w:val="001D62B5"/>
    <w:rsid w:val="001D6494"/>
    <w:rsid w:val="001D6FF4"/>
    <w:rsid w:val="001D7A2C"/>
    <w:rsid w:val="001E0428"/>
    <w:rsid w:val="001E04DE"/>
    <w:rsid w:val="001E0881"/>
    <w:rsid w:val="001E0BB3"/>
    <w:rsid w:val="001E0C5C"/>
    <w:rsid w:val="001E0DB5"/>
    <w:rsid w:val="001E0ED5"/>
    <w:rsid w:val="001E1606"/>
    <w:rsid w:val="001E1B21"/>
    <w:rsid w:val="001E1D59"/>
    <w:rsid w:val="001E2520"/>
    <w:rsid w:val="001E2672"/>
    <w:rsid w:val="001E33E8"/>
    <w:rsid w:val="001E4A75"/>
    <w:rsid w:val="001E51BB"/>
    <w:rsid w:val="001E5C3A"/>
    <w:rsid w:val="001E648E"/>
    <w:rsid w:val="001E7417"/>
    <w:rsid w:val="001F0C8F"/>
    <w:rsid w:val="001F1AFA"/>
    <w:rsid w:val="001F21AB"/>
    <w:rsid w:val="001F2C33"/>
    <w:rsid w:val="001F32B0"/>
    <w:rsid w:val="001F3C2B"/>
    <w:rsid w:val="001F4501"/>
    <w:rsid w:val="001F558F"/>
    <w:rsid w:val="001F5CE1"/>
    <w:rsid w:val="001F6840"/>
    <w:rsid w:val="001F6ADA"/>
    <w:rsid w:val="001F7488"/>
    <w:rsid w:val="001F75F7"/>
    <w:rsid w:val="0020004D"/>
    <w:rsid w:val="00200112"/>
    <w:rsid w:val="00200172"/>
    <w:rsid w:val="002004E6"/>
    <w:rsid w:val="00200B9C"/>
    <w:rsid w:val="00201335"/>
    <w:rsid w:val="00201D19"/>
    <w:rsid w:val="00201EAC"/>
    <w:rsid w:val="0020269B"/>
    <w:rsid w:val="00202AA4"/>
    <w:rsid w:val="00202B8D"/>
    <w:rsid w:val="00202F24"/>
    <w:rsid w:val="00203317"/>
    <w:rsid w:val="00203628"/>
    <w:rsid w:val="002037F0"/>
    <w:rsid w:val="002037F1"/>
    <w:rsid w:val="00203994"/>
    <w:rsid w:val="00203FB1"/>
    <w:rsid w:val="002043A4"/>
    <w:rsid w:val="00204F35"/>
    <w:rsid w:val="002054B5"/>
    <w:rsid w:val="00205916"/>
    <w:rsid w:val="00205ADB"/>
    <w:rsid w:val="00205C32"/>
    <w:rsid w:val="00205D17"/>
    <w:rsid w:val="00206105"/>
    <w:rsid w:val="00206E7E"/>
    <w:rsid w:val="00207117"/>
    <w:rsid w:val="0020752B"/>
    <w:rsid w:val="002105B3"/>
    <w:rsid w:val="002108CC"/>
    <w:rsid w:val="002109E6"/>
    <w:rsid w:val="00210C1E"/>
    <w:rsid w:val="0021108D"/>
    <w:rsid w:val="0021135B"/>
    <w:rsid w:val="00211788"/>
    <w:rsid w:val="002117AC"/>
    <w:rsid w:val="002117BF"/>
    <w:rsid w:val="00211869"/>
    <w:rsid w:val="00213073"/>
    <w:rsid w:val="00213560"/>
    <w:rsid w:val="00213584"/>
    <w:rsid w:val="00213CED"/>
    <w:rsid w:val="002150AF"/>
    <w:rsid w:val="00215300"/>
    <w:rsid w:val="00215E63"/>
    <w:rsid w:val="00215E93"/>
    <w:rsid w:val="00216EEB"/>
    <w:rsid w:val="00217231"/>
    <w:rsid w:val="0021752F"/>
    <w:rsid w:val="002175EE"/>
    <w:rsid w:val="00217D60"/>
    <w:rsid w:val="0022085A"/>
    <w:rsid w:val="002211AA"/>
    <w:rsid w:val="00221A1E"/>
    <w:rsid w:val="00222020"/>
    <w:rsid w:val="00222046"/>
    <w:rsid w:val="00222074"/>
    <w:rsid w:val="00222944"/>
    <w:rsid w:val="0022347D"/>
    <w:rsid w:val="00223677"/>
    <w:rsid w:val="0022379A"/>
    <w:rsid w:val="002267CA"/>
    <w:rsid w:val="00226812"/>
    <w:rsid w:val="002268EB"/>
    <w:rsid w:val="00227B8C"/>
    <w:rsid w:val="00230132"/>
    <w:rsid w:val="00230413"/>
    <w:rsid w:val="00230F69"/>
    <w:rsid w:val="00231CEE"/>
    <w:rsid w:val="0023259B"/>
    <w:rsid w:val="00232694"/>
    <w:rsid w:val="002326D8"/>
    <w:rsid w:val="002348FE"/>
    <w:rsid w:val="00234C32"/>
    <w:rsid w:val="002353A6"/>
    <w:rsid w:val="0023558C"/>
    <w:rsid w:val="0023560B"/>
    <w:rsid w:val="00235F45"/>
    <w:rsid w:val="002373FF"/>
    <w:rsid w:val="0023788A"/>
    <w:rsid w:val="00237D4C"/>
    <w:rsid w:val="00240AB5"/>
    <w:rsid w:val="0024160A"/>
    <w:rsid w:val="0024183F"/>
    <w:rsid w:val="002418E2"/>
    <w:rsid w:val="00241C72"/>
    <w:rsid w:val="00242129"/>
    <w:rsid w:val="0024370B"/>
    <w:rsid w:val="00243BA0"/>
    <w:rsid w:val="00243DFE"/>
    <w:rsid w:val="00244320"/>
    <w:rsid w:val="00244811"/>
    <w:rsid w:val="00244850"/>
    <w:rsid w:val="002452C5"/>
    <w:rsid w:val="00245726"/>
    <w:rsid w:val="00245A3E"/>
    <w:rsid w:val="00246307"/>
    <w:rsid w:val="0024666D"/>
    <w:rsid w:val="00246E00"/>
    <w:rsid w:val="0024722D"/>
    <w:rsid w:val="00247540"/>
    <w:rsid w:val="0024757E"/>
    <w:rsid w:val="00252580"/>
    <w:rsid w:val="00253AA8"/>
    <w:rsid w:val="00253B9B"/>
    <w:rsid w:val="00253C9D"/>
    <w:rsid w:val="00254141"/>
    <w:rsid w:val="00254D2D"/>
    <w:rsid w:val="00254E00"/>
    <w:rsid w:val="00255642"/>
    <w:rsid w:val="002556BB"/>
    <w:rsid w:val="002558D1"/>
    <w:rsid w:val="00255B44"/>
    <w:rsid w:val="00255BED"/>
    <w:rsid w:val="002562E3"/>
    <w:rsid w:val="0025689C"/>
    <w:rsid w:val="00256F38"/>
    <w:rsid w:val="00257D1F"/>
    <w:rsid w:val="00257EB1"/>
    <w:rsid w:val="00260035"/>
    <w:rsid w:val="00260D85"/>
    <w:rsid w:val="00260EEE"/>
    <w:rsid w:val="002613ED"/>
    <w:rsid w:val="00261AD1"/>
    <w:rsid w:val="002628EE"/>
    <w:rsid w:val="00262ABD"/>
    <w:rsid w:val="00262B8B"/>
    <w:rsid w:val="00262D90"/>
    <w:rsid w:val="00262E75"/>
    <w:rsid w:val="002648F5"/>
    <w:rsid w:val="00264A13"/>
    <w:rsid w:val="00265CFD"/>
    <w:rsid w:val="00265F9A"/>
    <w:rsid w:val="00266139"/>
    <w:rsid w:val="00266682"/>
    <w:rsid w:val="00266883"/>
    <w:rsid w:val="00266D0B"/>
    <w:rsid w:val="002672AB"/>
    <w:rsid w:val="002674C4"/>
    <w:rsid w:val="00267510"/>
    <w:rsid w:val="00267B62"/>
    <w:rsid w:val="002718B8"/>
    <w:rsid w:val="0027253D"/>
    <w:rsid w:val="00273538"/>
    <w:rsid w:val="00273F20"/>
    <w:rsid w:val="00273F53"/>
    <w:rsid w:val="002746C8"/>
    <w:rsid w:val="00274843"/>
    <w:rsid w:val="002752CF"/>
    <w:rsid w:val="00275505"/>
    <w:rsid w:val="00275592"/>
    <w:rsid w:val="00275CD4"/>
    <w:rsid w:val="00276307"/>
    <w:rsid w:val="00276B5F"/>
    <w:rsid w:val="002777E0"/>
    <w:rsid w:val="0028027A"/>
    <w:rsid w:val="00280299"/>
    <w:rsid w:val="00280323"/>
    <w:rsid w:val="002809FB"/>
    <w:rsid w:val="00281FAF"/>
    <w:rsid w:val="00282990"/>
    <w:rsid w:val="00282E4B"/>
    <w:rsid w:val="00283C38"/>
    <w:rsid w:val="00283C49"/>
    <w:rsid w:val="002842AB"/>
    <w:rsid w:val="0028472F"/>
    <w:rsid w:val="00284CA1"/>
    <w:rsid w:val="00284DD5"/>
    <w:rsid w:val="00284F92"/>
    <w:rsid w:val="00285619"/>
    <w:rsid w:val="002858D2"/>
    <w:rsid w:val="0028646E"/>
    <w:rsid w:val="002864A2"/>
    <w:rsid w:val="00287702"/>
    <w:rsid w:val="00287E43"/>
    <w:rsid w:val="00287EC0"/>
    <w:rsid w:val="00290439"/>
    <w:rsid w:val="002909D2"/>
    <w:rsid w:val="00291929"/>
    <w:rsid w:val="00291B98"/>
    <w:rsid w:val="002924E3"/>
    <w:rsid w:val="0029267A"/>
    <w:rsid w:val="0029328D"/>
    <w:rsid w:val="002939EA"/>
    <w:rsid w:val="00293A3A"/>
    <w:rsid w:val="00293BFF"/>
    <w:rsid w:val="00293DC3"/>
    <w:rsid w:val="00294C29"/>
    <w:rsid w:val="00294CF8"/>
    <w:rsid w:val="002954BB"/>
    <w:rsid w:val="002959B1"/>
    <w:rsid w:val="00297F41"/>
    <w:rsid w:val="002A02CB"/>
    <w:rsid w:val="002A0894"/>
    <w:rsid w:val="002A0FA1"/>
    <w:rsid w:val="002A13EF"/>
    <w:rsid w:val="002A1552"/>
    <w:rsid w:val="002A183E"/>
    <w:rsid w:val="002A2173"/>
    <w:rsid w:val="002A22BF"/>
    <w:rsid w:val="002A2B88"/>
    <w:rsid w:val="002A331B"/>
    <w:rsid w:val="002A4EC0"/>
    <w:rsid w:val="002A54FF"/>
    <w:rsid w:val="002A5A58"/>
    <w:rsid w:val="002A6007"/>
    <w:rsid w:val="002A6122"/>
    <w:rsid w:val="002A66A1"/>
    <w:rsid w:val="002A6760"/>
    <w:rsid w:val="002A6B58"/>
    <w:rsid w:val="002A6E72"/>
    <w:rsid w:val="002A73F1"/>
    <w:rsid w:val="002A7BC0"/>
    <w:rsid w:val="002B0012"/>
    <w:rsid w:val="002B0AB0"/>
    <w:rsid w:val="002B0B5C"/>
    <w:rsid w:val="002B116C"/>
    <w:rsid w:val="002B1B82"/>
    <w:rsid w:val="002B2252"/>
    <w:rsid w:val="002B244E"/>
    <w:rsid w:val="002B2870"/>
    <w:rsid w:val="002B3128"/>
    <w:rsid w:val="002B3191"/>
    <w:rsid w:val="002B49F9"/>
    <w:rsid w:val="002B4A30"/>
    <w:rsid w:val="002B4AF4"/>
    <w:rsid w:val="002B5300"/>
    <w:rsid w:val="002B622A"/>
    <w:rsid w:val="002B7468"/>
    <w:rsid w:val="002B7A85"/>
    <w:rsid w:val="002B7B20"/>
    <w:rsid w:val="002C000C"/>
    <w:rsid w:val="002C0C43"/>
    <w:rsid w:val="002C0C49"/>
    <w:rsid w:val="002C0DF8"/>
    <w:rsid w:val="002C116C"/>
    <w:rsid w:val="002C2C0B"/>
    <w:rsid w:val="002C328B"/>
    <w:rsid w:val="002C41AF"/>
    <w:rsid w:val="002C4362"/>
    <w:rsid w:val="002C465C"/>
    <w:rsid w:val="002C562C"/>
    <w:rsid w:val="002C5981"/>
    <w:rsid w:val="002C5B7E"/>
    <w:rsid w:val="002C5E09"/>
    <w:rsid w:val="002C5F57"/>
    <w:rsid w:val="002C62A9"/>
    <w:rsid w:val="002C795F"/>
    <w:rsid w:val="002C7C70"/>
    <w:rsid w:val="002D03D0"/>
    <w:rsid w:val="002D065B"/>
    <w:rsid w:val="002D0896"/>
    <w:rsid w:val="002D0DBE"/>
    <w:rsid w:val="002D1C63"/>
    <w:rsid w:val="002D278C"/>
    <w:rsid w:val="002D28A7"/>
    <w:rsid w:val="002D35E0"/>
    <w:rsid w:val="002D3760"/>
    <w:rsid w:val="002D4098"/>
    <w:rsid w:val="002D4136"/>
    <w:rsid w:val="002D4467"/>
    <w:rsid w:val="002D6874"/>
    <w:rsid w:val="002D7066"/>
    <w:rsid w:val="002D7152"/>
    <w:rsid w:val="002E0064"/>
    <w:rsid w:val="002E05C9"/>
    <w:rsid w:val="002E0B09"/>
    <w:rsid w:val="002E1088"/>
    <w:rsid w:val="002E13BA"/>
    <w:rsid w:val="002E244B"/>
    <w:rsid w:val="002E2FAE"/>
    <w:rsid w:val="002E3333"/>
    <w:rsid w:val="002E4029"/>
    <w:rsid w:val="002E4132"/>
    <w:rsid w:val="002E4C51"/>
    <w:rsid w:val="002E53E7"/>
    <w:rsid w:val="002E574D"/>
    <w:rsid w:val="002E57A8"/>
    <w:rsid w:val="002E5C6D"/>
    <w:rsid w:val="002E6092"/>
    <w:rsid w:val="002E60B3"/>
    <w:rsid w:val="002E6EA2"/>
    <w:rsid w:val="002E72C8"/>
    <w:rsid w:val="002E7556"/>
    <w:rsid w:val="002E783C"/>
    <w:rsid w:val="002F00EF"/>
    <w:rsid w:val="002F0A12"/>
    <w:rsid w:val="002F11BA"/>
    <w:rsid w:val="002F2166"/>
    <w:rsid w:val="002F2507"/>
    <w:rsid w:val="002F293C"/>
    <w:rsid w:val="002F2B92"/>
    <w:rsid w:val="002F2F47"/>
    <w:rsid w:val="002F3002"/>
    <w:rsid w:val="002F3323"/>
    <w:rsid w:val="002F33E7"/>
    <w:rsid w:val="002F4BBF"/>
    <w:rsid w:val="002F5666"/>
    <w:rsid w:val="002F5B06"/>
    <w:rsid w:val="00301465"/>
    <w:rsid w:val="00301921"/>
    <w:rsid w:val="00302B52"/>
    <w:rsid w:val="00302C1D"/>
    <w:rsid w:val="0030334E"/>
    <w:rsid w:val="003039ED"/>
    <w:rsid w:val="0030478B"/>
    <w:rsid w:val="00304FFB"/>
    <w:rsid w:val="003051B4"/>
    <w:rsid w:val="00305B49"/>
    <w:rsid w:val="00306B95"/>
    <w:rsid w:val="0030788E"/>
    <w:rsid w:val="00307948"/>
    <w:rsid w:val="00307BA9"/>
    <w:rsid w:val="0031039E"/>
    <w:rsid w:val="0031087E"/>
    <w:rsid w:val="0031089F"/>
    <w:rsid w:val="0031207D"/>
    <w:rsid w:val="003126ED"/>
    <w:rsid w:val="00312A60"/>
    <w:rsid w:val="003142FA"/>
    <w:rsid w:val="003157E8"/>
    <w:rsid w:val="00315CA2"/>
    <w:rsid w:val="0031601C"/>
    <w:rsid w:val="00316525"/>
    <w:rsid w:val="003170E6"/>
    <w:rsid w:val="00317141"/>
    <w:rsid w:val="00317B38"/>
    <w:rsid w:val="00320954"/>
    <w:rsid w:val="00320FF8"/>
    <w:rsid w:val="00322204"/>
    <w:rsid w:val="00322613"/>
    <w:rsid w:val="0032273A"/>
    <w:rsid w:val="00323446"/>
    <w:rsid w:val="003243EA"/>
    <w:rsid w:val="003245C2"/>
    <w:rsid w:val="003251D0"/>
    <w:rsid w:val="00326270"/>
    <w:rsid w:val="003269DB"/>
    <w:rsid w:val="00326A2D"/>
    <w:rsid w:val="003270DB"/>
    <w:rsid w:val="00327117"/>
    <w:rsid w:val="003272F7"/>
    <w:rsid w:val="0032741F"/>
    <w:rsid w:val="0032746C"/>
    <w:rsid w:val="00330F58"/>
    <w:rsid w:val="0033172E"/>
    <w:rsid w:val="0033178B"/>
    <w:rsid w:val="0033218E"/>
    <w:rsid w:val="003321EC"/>
    <w:rsid w:val="003327DB"/>
    <w:rsid w:val="00332C92"/>
    <w:rsid w:val="00333295"/>
    <w:rsid w:val="00334AA7"/>
    <w:rsid w:val="00336B58"/>
    <w:rsid w:val="003377F6"/>
    <w:rsid w:val="00337CB0"/>
    <w:rsid w:val="00340094"/>
    <w:rsid w:val="00340581"/>
    <w:rsid w:val="003407DA"/>
    <w:rsid w:val="003407E6"/>
    <w:rsid w:val="0034114A"/>
    <w:rsid w:val="0034190F"/>
    <w:rsid w:val="00341C6A"/>
    <w:rsid w:val="00342CEA"/>
    <w:rsid w:val="0034355A"/>
    <w:rsid w:val="003438BB"/>
    <w:rsid w:val="00343995"/>
    <w:rsid w:val="00343F5B"/>
    <w:rsid w:val="0034510C"/>
    <w:rsid w:val="00345A8E"/>
    <w:rsid w:val="00345E55"/>
    <w:rsid w:val="00345E82"/>
    <w:rsid w:val="00345FD0"/>
    <w:rsid w:val="0034661D"/>
    <w:rsid w:val="003468FC"/>
    <w:rsid w:val="00346AD8"/>
    <w:rsid w:val="00346C7E"/>
    <w:rsid w:val="00346E7E"/>
    <w:rsid w:val="00346FB8"/>
    <w:rsid w:val="003474B5"/>
    <w:rsid w:val="0034755C"/>
    <w:rsid w:val="00347E76"/>
    <w:rsid w:val="003500A5"/>
    <w:rsid w:val="00350336"/>
    <w:rsid w:val="0035106C"/>
    <w:rsid w:val="0035143A"/>
    <w:rsid w:val="00351DEE"/>
    <w:rsid w:val="00352938"/>
    <w:rsid w:val="0035317D"/>
    <w:rsid w:val="0035345C"/>
    <w:rsid w:val="003537B7"/>
    <w:rsid w:val="0035477F"/>
    <w:rsid w:val="0035492D"/>
    <w:rsid w:val="00354E74"/>
    <w:rsid w:val="00355100"/>
    <w:rsid w:val="003556AB"/>
    <w:rsid w:val="003574EE"/>
    <w:rsid w:val="00357B73"/>
    <w:rsid w:val="00357D07"/>
    <w:rsid w:val="00361378"/>
    <w:rsid w:val="003626C0"/>
    <w:rsid w:val="0036283A"/>
    <w:rsid w:val="00363366"/>
    <w:rsid w:val="00365868"/>
    <w:rsid w:val="00365D75"/>
    <w:rsid w:val="00365F77"/>
    <w:rsid w:val="00366377"/>
    <w:rsid w:val="00366AAF"/>
    <w:rsid w:val="00366F5D"/>
    <w:rsid w:val="003700C0"/>
    <w:rsid w:val="00370371"/>
    <w:rsid w:val="003719AA"/>
    <w:rsid w:val="00372824"/>
    <w:rsid w:val="0037436F"/>
    <w:rsid w:val="00375EC4"/>
    <w:rsid w:val="00376931"/>
    <w:rsid w:val="00376BA9"/>
    <w:rsid w:val="00376EA8"/>
    <w:rsid w:val="00377009"/>
    <w:rsid w:val="003774D7"/>
    <w:rsid w:val="003779C9"/>
    <w:rsid w:val="00377FED"/>
    <w:rsid w:val="00380EA4"/>
    <w:rsid w:val="00380F1C"/>
    <w:rsid w:val="00381105"/>
    <w:rsid w:val="00381935"/>
    <w:rsid w:val="00381A39"/>
    <w:rsid w:val="00381B60"/>
    <w:rsid w:val="00382448"/>
    <w:rsid w:val="00382AA4"/>
    <w:rsid w:val="003830DC"/>
    <w:rsid w:val="00383708"/>
    <w:rsid w:val="003847AE"/>
    <w:rsid w:val="00384CF3"/>
    <w:rsid w:val="00385198"/>
    <w:rsid w:val="00385506"/>
    <w:rsid w:val="0038598D"/>
    <w:rsid w:val="00386B50"/>
    <w:rsid w:val="00386C43"/>
    <w:rsid w:val="00387C33"/>
    <w:rsid w:val="00387DE7"/>
    <w:rsid w:val="00387E03"/>
    <w:rsid w:val="00387F9C"/>
    <w:rsid w:val="00390529"/>
    <w:rsid w:val="003905A7"/>
    <w:rsid w:val="00390806"/>
    <w:rsid w:val="00392081"/>
    <w:rsid w:val="003921AE"/>
    <w:rsid w:val="00392B91"/>
    <w:rsid w:val="00392BF7"/>
    <w:rsid w:val="003932CE"/>
    <w:rsid w:val="00394353"/>
    <w:rsid w:val="00394484"/>
    <w:rsid w:val="00395297"/>
    <w:rsid w:val="00396EC0"/>
    <w:rsid w:val="00397E63"/>
    <w:rsid w:val="003A09A2"/>
    <w:rsid w:val="003A0FAD"/>
    <w:rsid w:val="003A1A1B"/>
    <w:rsid w:val="003A1C54"/>
    <w:rsid w:val="003A1CA6"/>
    <w:rsid w:val="003A25A1"/>
    <w:rsid w:val="003A4B8F"/>
    <w:rsid w:val="003A5683"/>
    <w:rsid w:val="003A5A5E"/>
    <w:rsid w:val="003A6AFD"/>
    <w:rsid w:val="003A6CD3"/>
    <w:rsid w:val="003A6E20"/>
    <w:rsid w:val="003A7378"/>
    <w:rsid w:val="003A7EEF"/>
    <w:rsid w:val="003B075A"/>
    <w:rsid w:val="003B095E"/>
    <w:rsid w:val="003B0AC6"/>
    <w:rsid w:val="003B0ACC"/>
    <w:rsid w:val="003B16BD"/>
    <w:rsid w:val="003B1813"/>
    <w:rsid w:val="003B19B2"/>
    <w:rsid w:val="003B1CEB"/>
    <w:rsid w:val="003B23A3"/>
    <w:rsid w:val="003B2BDB"/>
    <w:rsid w:val="003B2CA4"/>
    <w:rsid w:val="003B3559"/>
    <w:rsid w:val="003B3719"/>
    <w:rsid w:val="003B3821"/>
    <w:rsid w:val="003B565D"/>
    <w:rsid w:val="003B5A11"/>
    <w:rsid w:val="003B5D04"/>
    <w:rsid w:val="003B5F0C"/>
    <w:rsid w:val="003B6175"/>
    <w:rsid w:val="003B6630"/>
    <w:rsid w:val="003B6A8A"/>
    <w:rsid w:val="003B7780"/>
    <w:rsid w:val="003B7941"/>
    <w:rsid w:val="003C020D"/>
    <w:rsid w:val="003C0A30"/>
    <w:rsid w:val="003C0D51"/>
    <w:rsid w:val="003C0EFC"/>
    <w:rsid w:val="003C1BA0"/>
    <w:rsid w:val="003C1F73"/>
    <w:rsid w:val="003C236A"/>
    <w:rsid w:val="003C25CD"/>
    <w:rsid w:val="003C2C51"/>
    <w:rsid w:val="003C2FE6"/>
    <w:rsid w:val="003C341D"/>
    <w:rsid w:val="003C3910"/>
    <w:rsid w:val="003C3971"/>
    <w:rsid w:val="003C3ADA"/>
    <w:rsid w:val="003C3CBF"/>
    <w:rsid w:val="003C4A17"/>
    <w:rsid w:val="003C54CC"/>
    <w:rsid w:val="003C55F4"/>
    <w:rsid w:val="003C5FFD"/>
    <w:rsid w:val="003C637B"/>
    <w:rsid w:val="003C6D2B"/>
    <w:rsid w:val="003C6EF4"/>
    <w:rsid w:val="003C7572"/>
    <w:rsid w:val="003C75A2"/>
    <w:rsid w:val="003C7757"/>
    <w:rsid w:val="003C7794"/>
    <w:rsid w:val="003D042C"/>
    <w:rsid w:val="003D0EC3"/>
    <w:rsid w:val="003D1009"/>
    <w:rsid w:val="003D19A5"/>
    <w:rsid w:val="003D1F5F"/>
    <w:rsid w:val="003D231D"/>
    <w:rsid w:val="003D2B0C"/>
    <w:rsid w:val="003D2FF7"/>
    <w:rsid w:val="003D3096"/>
    <w:rsid w:val="003D43F8"/>
    <w:rsid w:val="003D444B"/>
    <w:rsid w:val="003D4455"/>
    <w:rsid w:val="003D44AD"/>
    <w:rsid w:val="003D4855"/>
    <w:rsid w:val="003D4EF3"/>
    <w:rsid w:val="003D6332"/>
    <w:rsid w:val="003D68AF"/>
    <w:rsid w:val="003D72C4"/>
    <w:rsid w:val="003D747B"/>
    <w:rsid w:val="003D7C30"/>
    <w:rsid w:val="003E035F"/>
    <w:rsid w:val="003E0FF1"/>
    <w:rsid w:val="003E25B1"/>
    <w:rsid w:val="003E2F91"/>
    <w:rsid w:val="003E31BE"/>
    <w:rsid w:val="003E381B"/>
    <w:rsid w:val="003E4A10"/>
    <w:rsid w:val="003E4A86"/>
    <w:rsid w:val="003E4E2F"/>
    <w:rsid w:val="003E4EA1"/>
    <w:rsid w:val="003E5688"/>
    <w:rsid w:val="003E5844"/>
    <w:rsid w:val="003E6E83"/>
    <w:rsid w:val="003E6EA1"/>
    <w:rsid w:val="003E7466"/>
    <w:rsid w:val="003E7811"/>
    <w:rsid w:val="003E7BEB"/>
    <w:rsid w:val="003E7E24"/>
    <w:rsid w:val="003F2A45"/>
    <w:rsid w:val="003F2D78"/>
    <w:rsid w:val="003F3100"/>
    <w:rsid w:val="003F360A"/>
    <w:rsid w:val="003F49AE"/>
    <w:rsid w:val="003F4C56"/>
    <w:rsid w:val="003F6AAA"/>
    <w:rsid w:val="003F77B6"/>
    <w:rsid w:val="0040085A"/>
    <w:rsid w:val="00400865"/>
    <w:rsid w:val="004016B3"/>
    <w:rsid w:val="004018B5"/>
    <w:rsid w:val="00401D52"/>
    <w:rsid w:val="0040332D"/>
    <w:rsid w:val="004036B7"/>
    <w:rsid w:val="004036E1"/>
    <w:rsid w:val="00404029"/>
    <w:rsid w:val="0040428A"/>
    <w:rsid w:val="00404612"/>
    <w:rsid w:val="00404A98"/>
    <w:rsid w:val="00404BDC"/>
    <w:rsid w:val="00404D24"/>
    <w:rsid w:val="0040533A"/>
    <w:rsid w:val="00406D4E"/>
    <w:rsid w:val="004072F4"/>
    <w:rsid w:val="0040742F"/>
    <w:rsid w:val="004076AF"/>
    <w:rsid w:val="004108FB"/>
    <w:rsid w:val="004110BD"/>
    <w:rsid w:val="00411183"/>
    <w:rsid w:val="00411232"/>
    <w:rsid w:val="00411D52"/>
    <w:rsid w:val="004123E5"/>
    <w:rsid w:val="004126AC"/>
    <w:rsid w:val="00412F2E"/>
    <w:rsid w:val="00413C25"/>
    <w:rsid w:val="00413EF9"/>
    <w:rsid w:val="004142D4"/>
    <w:rsid w:val="00414BF6"/>
    <w:rsid w:val="00414F7B"/>
    <w:rsid w:val="0041563B"/>
    <w:rsid w:val="00415B03"/>
    <w:rsid w:val="004164C1"/>
    <w:rsid w:val="004164EC"/>
    <w:rsid w:val="00416AD0"/>
    <w:rsid w:val="0041721F"/>
    <w:rsid w:val="00417B4F"/>
    <w:rsid w:val="00420216"/>
    <w:rsid w:val="00420EFA"/>
    <w:rsid w:val="004214F4"/>
    <w:rsid w:val="00421830"/>
    <w:rsid w:val="00421F98"/>
    <w:rsid w:val="004226C2"/>
    <w:rsid w:val="004229E7"/>
    <w:rsid w:val="00422D69"/>
    <w:rsid w:val="00423221"/>
    <w:rsid w:val="004233A2"/>
    <w:rsid w:val="00424206"/>
    <w:rsid w:val="004243E9"/>
    <w:rsid w:val="004250A7"/>
    <w:rsid w:val="00425909"/>
    <w:rsid w:val="0042602C"/>
    <w:rsid w:val="00426255"/>
    <w:rsid w:val="004266A3"/>
    <w:rsid w:val="004266EB"/>
    <w:rsid w:val="00426A37"/>
    <w:rsid w:val="004273A4"/>
    <w:rsid w:val="004277B2"/>
    <w:rsid w:val="0042781E"/>
    <w:rsid w:val="00427A0A"/>
    <w:rsid w:val="00427A6F"/>
    <w:rsid w:val="00427AB0"/>
    <w:rsid w:val="004301CA"/>
    <w:rsid w:val="00430DC5"/>
    <w:rsid w:val="00430ED6"/>
    <w:rsid w:val="00431A15"/>
    <w:rsid w:val="00431C83"/>
    <w:rsid w:val="00431E21"/>
    <w:rsid w:val="004324C1"/>
    <w:rsid w:val="00432B2D"/>
    <w:rsid w:val="00432EBC"/>
    <w:rsid w:val="00433546"/>
    <w:rsid w:val="004337B9"/>
    <w:rsid w:val="00434011"/>
    <w:rsid w:val="004349FA"/>
    <w:rsid w:val="00435EE8"/>
    <w:rsid w:val="00436600"/>
    <w:rsid w:val="00436C92"/>
    <w:rsid w:val="00437589"/>
    <w:rsid w:val="0044094D"/>
    <w:rsid w:val="00440CE9"/>
    <w:rsid w:val="00440EA4"/>
    <w:rsid w:val="00441B05"/>
    <w:rsid w:val="00441D7D"/>
    <w:rsid w:val="00442DA1"/>
    <w:rsid w:val="00443761"/>
    <w:rsid w:val="00443C9C"/>
    <w:rsid w:val="00444A14"/>
    <w:rsid w:val="00444EA6"/>
    <w:rsid w:val="00445873"/>
    <w:rsid w:val="00445D7A"/>
    <w:rsid w:val="004461CD"/>
    <w:rsid w:val="00446785"/>
    <w:rsid w:val="00446E7D"/>
    <w:rsid w:val="00447B1C"/>
    <w:rsid w:val="004515F4"/>
    <w:rsid w:val="004525D0"/>
    <w:rsid w:val="00452769"/>
    <w:rsid w:val="0045276B"/>
    <w:rsid w:val="0045286A"/>
    <w:rsid w:val="00452A2B"/>
    <w:rsid w:val="0045306D"/>
    <w:rsid w:val="00453384"/>
    <w:rsid w:val="00453D40"/>
    <w:rsid w:val="004546AC"/>
    <w:rsid w:val="004547D5"/>
    <w:rsid w:val="00455781"/>
    <w:rsid w:val="004558FC"/>
    <w:rsid w:val="00456CB3"/>
    <w:rsid w:val="00456DD7"/>
    <w:rsid w:val="00456E22"/>
    <w:rsid w:val="00456F1A"/>
    <w:rsid w:val="004570D6"/>
    <w:rsid w:val="00457F39"/>
    <w:rsid w:val="004601C0"/>
    <w:rsid w:val="00460214"/>
    <w:rsid w:val="0046081D"/>
    <w:rsid w:val="00460F73"/>
    <w:rsid w:val="004610EA"/>
    <w:rsid w:val="004620E0"/>
    <w:rsid w:val="00462281"/>
    <w:rsid w:val="0046330D"/>
    <w:rsid w:val="00463C18"/>
    <w:rsid w:val="00464367"/>
    <w:rsid w:val="004653D2"/>
    <w:rsid w:val="004657DF"/>
    <w:rsid w:val="00465D34"/>
    <w:rsid w:val="00466305"/>
    <w:rsid w:val="0046677E"/>
    <w:rsid w:val="00467020"/>
    <w:rsid w:val="00467A6D"/>
    <w:rsid w:val="00470591"/>
    <w:rsid w:val="00470EBD"/>
    <w:rsid w:val="00471334"/>
    <w:rsid w:val="004715F2"/>
    <w:rsid w:val="0047383F"/>
    <w:rsid w:val="00473F9C"/>
    <w:rsid w:val="0047402F"/>
    <w:rsid w:val="00474B29"/>
    <w:rsid w:val="00474EEB"/>
    <w:rsid w:val="0047562D"/>
    <w:rsid w:val="00475E6A"/>
    <w:rsid w:val="00475FFA"/>
    <w:rsid w:val="00480105"/>
    <w:rsid w:val="00480499"/>
    <w:rsid w:val="00480B75"/>
    <w:rsid w:val="00480C80"/>
    <w:rsid w:val="00480F71"/>
    <w:rsid w:val="00481C3B"/>
    <w:rsid w:val="00482BD8"/>
    <w:rsid w:val="00482D21"/>
    <w:rsid w:val="0048424B"/>
    <w:rsid w:val="0048474D"/>
    <w:rsid w:val="00484D1A"/>
    <w:rsid w:val="0048504F"/>
    <w:rsid w:val="00485881"/>
    <w:rsid w:val="00485984"/>
    <w:rsid w:val="00485F2B"/>
    <w:rsid w:val="004860D4"/>
    <w:rsid w:val="00486115"/>
    <w:rsid w:val="004867B8"/>
    <w:rsid w:val="00486A11"/>
    <w:rsid w:val="00487481"/>
    <w:rsid w:val="00490657"/>
    <w:rsid w:val="00492545"/>
    <w:rsid w:val="00492BD6"/>
    <w:rsid w:val="00492C41"/>
    <w:rsid w:val="00492C68"/>
    <w:rsid w:val="00492F8D"/>
    <w:rsid w:val="00493608"/>
    <w:rsid w:val="004942A6"/>
    <w:rsid w:val="0049471D"/>
    <w:rsid w:val="00494800"/>
    <w:rsid w:val="00494A3F"/>
    <w:rsid w:val="00494CFA"/>
    <w:rsid w:val="00494D94"/>
    <w:rsid w:val="00494E9F"/>
    <w:rsid w:val="0049578C"/>
    <w:rsid w:val="004968A2"/>
    <w:rsid w:val="004969B7"/>
    <w:rsid w:val="00496E49"/>
    <w:rsid w:val="00496EA0"/>
    <w:rsid w:val="00497106"/>
    <w:rsid w:val="004978F6"/>
    <w:rsid w:val="004A00A0"/>
    <w:rsid w:val="004A0101"/>
    <w:rsid w:val="004A0867"/>
    <w:rsid w:val="004A0CAC"/>
    <w:rsid w:val="004A12BD"/>
    <w:rsid w:val="004A1F41"/>
    <w:rsid w:val="004A25FF"/>
    <w:rsid w:val="004A2BB5"/>
    <w:rsid w:val="004A2EDB"/>
    <w:rsid w:val="004A365E"/>
    <w:rsid w:val="004A3B82"/>
    <w:rsid w:val="004A3BBC"/>
    <w:rsid w:val="004A45CE"/>
    <w:rsid w:val="004A70D6"/>
    <w:rsid w:val="004A7B8F"/>
    <w:rsid w:val="004B0337"/>
    <w:rsid w:val="004B04B9"/>
    <w:rsid w:val="004B086F"/>
    <w:rsid w:val="004B0BC2"/>
    <w:rsid w:val="004B1151"/>
    <w:rsid w:val="004B193B"/>
    <w:rsid w:val="004B1A70"/>
    <w:rsid w:val="004B1ECF"/>
    <w:rsid w:val="004B267D"/>
    <w:rsid w:val="004B2979"/>
    <w:rsid w:val="004B2D00"/>
    <w:rsid w:val="004B308F"/>
    <w:rsid w:val="004B425F"/>
    <w:rsid w:val="004B431A"/>
    <w:rsid w:val="004B48B0"/>
    <w:rsid w:val="004B5155"/>
    <w:rsid w:val="004B53E1"/>
    <w:rsid w:val="004B5A5E"/>
    <w:rsid w:val="004B5AE8"/>
    <w:rsid w:val="004B64BD"/>
    <w:rsid w:val="004B6D47"/>
    <w:rsid w:val="004C0013"/>
    <w:rsid w:val="004C0825"/>
    <w:rsid w:val="004C1899"/>
    <w:rsid w:val="004C279F"/>
    <w:rsid w:val="004C2C25"/>
    <w:rsid w:val="004C3384"/>
    <w:rsid w:val="004C377C"/>
    <w:rsid w:val="004C3ECF"/>
    <w:rsid w:val="004C4E54"/>
    <w:rsid w:val="004C5BB2"/>
    <w:rsid w:val="004C5CAA"/>
    <w:rsid w:val="004C623F"/>
    <w:rsid w:val="004C62DD"/>
    <w:rsid w:val="004C6352"/>
    <w:rsid w:val="004C79D8"/>
    <w:rsid w:val="004C7FA4"/>
    <w:rsid w:val="004D00DD"/>
    <w:rsid w:val="004D0BFE"/>
    <w:rsid w:val="004D14AF"/>
    <w:rsid w:val="004D233D"/>
    <w:rsid w:val="004D278B"/>
    <w:rsid w:val="004D29B9"/>
    <w:rsid w:val="004D2E76"/>
    <w:rsid w:val="004D38AE"/>
    <w:rsid w:val="004D46D5"/>
    <w:rsid w:val="004D4A94"/>
    <w:rsid w:val="004D5399"/>
    <w:rsid w:val="004D7549"/>
    <w:rsid w:val="004D761C"/>
    <w:rsid w:val="004E0AC9"/>
    <w:rsid w:val="004E1511"/>
    <w:rsid w:val="004E17F5"/>
    <w:rsid w:val="004E1B0F"/>
    <w:rsid w:val="004E223D"/>
    <w:rsid w:val="004E4F36"/>
    <w:rsid w:val="004E5A54"/>
    <w:rsid w:val="004E5C27"/>
    <w:rsid w:val="004E6379"/>
    <w:rsid w:val="004E6698"/>
    <w:rsid w:val="004E6FF1"/>
    <w:rsid w:val="004E71DE"/>
    <w:rsid w:val="004E778C"/>
    <w:rsid w:val="004E7B4A"/>
    <w:rsid w:val="004F08EC"/>
    <w:rsid w:val="004F0928"/>
    <w:rsid w:val="004F0CA7"/>
    <w:rsid w:val="004F0E29"/>
    <w:rsid w:val="004F1585"/>
    <w:rsid w:val="004F317A"/>
    <w:rsid w:val="004F44A6"/>
    <w:rsid w:val="004F497E"/>
    <w:rsid w:val="004F5B0B"/>
    <w:rsid w:val="004F6B6A"/>
    <w:rsid w:val="004F719A"/>
    <w:rsid w:val="004F7236"/>
    <w:rsid w:val="004F733A"/>
    <w:rsid w:val="005001A2"/>
    <w:rsid w:val="00500725"/>
    <w:rsid w:val="00500837"/>
    <w:rsid w:val="00500B85"/>
    <w:rsid w:val="00500C56"/>
    <w:rsid w:val="00501946"/>
    <w:rsid w:val="00502408"/>
    <w:rsid w:val="00502850"/>
    <w:rsid w:val="0050297A"/>
    <w:rsid w:val="00502A65"/>
    <w:rsid w:val="00503FCA"/>
    <w:rsid w:val="00504EA2"/>
    <w:rsid w:val="005056B1"/>
    <w:rsid w:val="00505EBD"/>
    <w:rsid w:val="005061FB"/>
    <w:rsid w:val="005075A5"/>
    <w:rsid w:val="00507EA2"/>
    <w:rsid w:val="00507F16"/>
    <w:rsid w:val="00507FA0"/>
    <w:rsid w:val="00507FDD"/>
    <w:rsid w:val="00510164"/>
    <w:rsid w:val="00510259"/>
    <w:rsid w:val="0051125F"/>
    <w:rsid w:val="00511294"/>
    <w:rsid w:val="0051144A"/>
    <w:rsid w:val="005117D9"/>
    <w:rsid w:val="00512D06"/>
    <w:rsid w:val="005130F3"/>
    <w:rsid w:val="0051331C"/>
    <w:rsid w:val="00513AFD"/>
    <w:rsid w:val="00514370"/>
    <w:rsid w:val="00514612"/>
    <w:rsid w:val="00514EEA"/>
    <w:rsid w:val="00515924"/>
    <w:rsid w:val="00515AF8"/>
    <w:rsid w:val="00516A6D"/>
    <w:rsid w:val="00516AA9"/>
    <w:rsid w:val="00516E59"/>
    <w:rsid w:val="00517345"/>
    <w:rsid w:val="005175F6"/>
    <w:rsid w:val="00520295"/>
    <w:rsid w:val="005203D4"/>
    <w:rsid w:val="0052094C"/>
    <w:rsid w:val="00521449"/>
    <w:rsid w:val="00521E27"/>
    <w:rsid w:val="00521FC8"/>
    <w:rsid w:val="005222A3"/>
    <w:rsid w:val="005228C5"/>
    <w:rsid w:val="00522A64"/>
    <w:rsid w:val="00524276"/>
    <w:rsid w:val="00524E48"/>
    <w:rsid w:val="0052524D"/>
    <w:rsid w:val="00525300"/>
    <w:rsid w:val="00525BF3"/>
    <w:rsid w:val="00525F50"/>
    <w:rsid w:val="005268BE"/>
    <w:rsid w:val="00526E3D"/>
    <w:rsid w:val="00526FDE"/>
    <w:rsid w:val="0053023F"/>
    <w:rsid w:val="00531B6D"/>
    <w:rsid w:val="005325A0"/>
    <w:rsid w:val="005326CB"/>
    <w:rsid w:val="005326F0"/>
    <w:rsid w:val="005335E7"/>
    <w:rsid w:val="0053396E"/>
    <w:rsid w:val="00533D85"/>
    <w:rsid w:val="00533DAC"/>
    <w:rsid w:val="00534804"/>
    <w:rsid w:val="0053544B"/>
    <w:rsid w:val="0053592A"/>
    <w:rsid w:val="0053597F"/>
    <w:rsid w:val="00537F7F"/>
    <w:rsid w:val="00540706"/>
    <w:rsid w:val="00540ECC"/>
    <w:rsid w:val="00541471"/>
    <w:rsid w:val="0054149F"/>
    <w:rsid w:val="0054208A"/>
    <w:rsid w:val="005425C6"/>
    <w:rsid w:val="005428A0"/>
    <w:rsid w:val="00542DDC"/>
    <w:rsid w:val="005439DE"/>
    <w:rsid w:val="00543AE5"/>
    <w:rsid w:val="00543C11"/>
    <w:rsid w:val="00543D99"/>
    <w:rsid w:val="005441FC"/>
    <w:rsid w:val="00544945"/>
    <w:rsid w:val="00544BCE"/>
    <w:rsid w:val="00545205"/>
    <w:rsid w:val="00545F28"/>
    <w:rsid w:val="005463E6"/>
    <w:rsid w:val="005465CC"/>
    <w:rsid w:val="0054694F"/>
    <w:rsid w:val="0054715B"/>
    <w:rsid w:val="005472B4"/>
    <w:rsid w:val="00547780"/>
    <w:rsid w:val="00547946"/>
    <w:rsid w:val="00547E38"/>
    <w:rsid w:val="00550FEF"/>
    <w:rsid w:val="00551330"/>
    <w:rsid w:val="005522F2"/>
    <w:rsid w:val="005523D9"/>
    <w:rsid w:val="005529A1"/>
    <w:rsid w:val="005529F1"/>
    <w:rsid w:val="00554C36"/>
    <w:rsid w:val="005550B1"/>
    <w:rsid w:val="00555805"/>
    <w:rsid w:val="00555C1A"/>
    <w:rsid w:val="0055725A"/>
    <w:rsid w:val="00557591"/>
    <w:rsid w:val="00557A41"/>
    <w:rsid w:val="00560177"/>
    <w:rsid w:val="00560EF3"/>
    <w:rsid w:val="00561F24"/>
    <w:rsid w:val="00562E98"/>
    <w:rsid w:val="00563215"/>
    <w:rsid w:val="005634C7"/>
    <w:rsid w:val="005637AE"/>
    <w:rsid w:val="00564CC6"/>
    <w:rsid w:val="00565D7D"/>
    <w:rsid w:val="00566DFD"/>
    <w:rsid w:val="00570035"/>
    <w:rsid w:val="00570F99"/>
    <w:rsid w:val="005712A3"/>
    <w:rsid w:val="00571320"/>
    <w:rsid w:val="005714C7"/>
    <w:rsid w:val="00572D40"/>
    <w:rsid w:val="00573338"/>
    <w:rsid w:val="005739E7"/>
    <w:rsid w:val="005741DC"/>
    <w:rsid w:val="005741E6"/>
    <w:rsid w:val="00574FE2"/>
    <w:rsid w:val="005751CC"/>
    <w:rsid w:val="00575853"/>
    <w:rsid w:val="00575E04"/>
    <w:rsid w:val="00576325"/>
    <w:rsid w:val="005763E9"/>
    <w:rsid w:val="00576506"/>
    <w:rsid w:val="00577520"/>
    <w:rsid w:val="0058094D"/>
    <w:rsid w:val="00580BAC"/>
    <w:rsid w:val="00581824"/>
    <w:rsid w:val="00582418"/>
    <w:rsid w:val="00582CAA"/>
    <w:rsid w:val="00582E8C"/>
    <w:rsid w:val="005832FE"/>
    <w:rsid w:val="00583B48"/>
    <w:rsid w:val="005845CE"/>
    <w:rsid w:val="00585893"/>
    <w:rsid w:val="0058589E"/>
    <w:rsid w:val="00585A62"/>
    <w:rsid w:val="00585D24"/>
    <w:rsid w:val="0058649C"/>
    <w:rsid w:val="005865B7"/>
    <w:rsid w:val="00586FF2"/>
    <w:rsid w:val="00587FD4"/>
    <w:rsid w:val="00590831"/>
    <w:rsid w:val="00590A6C"/>
    <w:rsid w:val="00591AAC"/>
    <w:rsid w:val="00591B40"/>
    <w:rsid w:val="00591F66"/>
    <w:rsid w:val="005924FC"/>
    <w:rsid w:val="00592E5A"/>
    <w:rsid w:val="00592F8A"/>
    <w:rsid w:val="0059458F"/>
    <w:rsid w:val="005946CD"/>
    <w:rsid w:val="00594EBE"/>
    <w:rsid w:val="00595EF5"/>
    <w:rsid w:val="00595F51"/>
    <w:rsid w:val="005961F1"/>
    <w:rsid w:val="00596208"/>
    <w:rsid w:val="005973CB"/>
    <w:rsid w:val="00597658"/>
    <w:rsid w:val="005976A5"/>
    <w:rsid w:val="00597B08"/>
    <w:rsid w:val="005A0132"/>
    <w:rsid w:val="005A06C5"/>
    <w:rsid w:val="005A0980"/>
    <w:rsid w:val="005A0A1C"/>
    <w:rsid w:val="005A0B1D"/>
    <w:rsid w:val="005A0EA8"/>
    <w:rsid w:val="005A17B8"/>
    <w:rsid w:val="005A17C6"/>
    <w:rsid w:val="005A4271"/>
    <w:rsid w:val="005A5958"/>
    <w:rsid w:val="005A5A8F"/>
    <w:rsid w:val="005A5B79"/>
    <w:rsid w:val="005A69FD"/>
    <w:rsid w:val="005A6D17"/>
    <w:rsid w:val="005A6EF7"/>
    <w:rsid w:val="005A729A"/>
    <w:rsid w:val="005A75E0"/>
    <w:rsid w:val="005A793C"/>
    <w:rsid w:val="005B002E"/>
    <w:rsid w:val="005B0C85"/>
    <w:rsid w:val="005B1444"/>
    <w:rsid w:val="005B19BD"/>
    <w:rsid w:val="005B1AF2"/>
    <w:rsid w:val="005B1E63"/>
    <w:rsid w:val="005B24C4"/>
    <w:rsid w:val="005B2754"/>
    <w:rsid w:val="005B2CD5"/>
    <w:rsid w:val="005B35DC"/>
    <w:rsid w:val="005B35E3"/>
    <w:rsid w:val="005B4CAE"/>
    <w:rsid w:val="005B50C1"/>
    <w:rsid w:val="005B5730"/>
    <w:rsid w:val="005B5D34"/>
    <w:rsid w:val="005B5ECD"/>
    <w:rsid w:val="005B6250"/>
    <w:rsid w:val="005B6E31"/>
    <w:rsid w:val="005B7038"/>
    <w:rsid w:val="005B7DE1"/>
    <w:rsid w:val="005B7F3A"/>
    <w:rsid w:val="005C0249"/>
    <w:rsid w:val="005C057B"/>
    <w:rsid w:val="005C3327"/>
    <w:rsid w:val="005C45A2"/>
    <w:rsid w:val="005C45D2"/>
    <w:rsid w:val="005C5507"/>
    <w:rsid w:val="005C608C"/>
    <w:rsid w:val="005C6ABE"/>
    <w:rsid w:val="005C7B1A"/>
    <w:rsid w:val="005C7C1A"/>
    <w:rsid w:val="005C7C9C"/>
    <w:rsid w:val="005D0680"/>
    <w:rsid w:val="005D0A19"/>
    <w:rsid w:val="005D0FFB"/>
    <w:rsid w:val="005D102E"/>
    <w:rsid w:val="005D176D"/>
    <w:rsid w:val="005D2115"/>
    <w:rsid w:val="005D227C"/>
    <w:rsid w:val="005D4647"/>
    <w:rsid w:val="005D4D28"/>
    <w:rsid w:val="005D5212"/>
    <w:rsid w:val="005D5261"/>
    <w:rsid w:val="005D5AE0"/>
    <w:rsid w:val="005D5D25"/>
    <w:rsid w:val="005D5DCE"/>
    <w:rsid w:val="005D6079"/>
    <w:rsid w:val="005D6461"/>
    <w:rsid w:val="005D6B4E"/>
    <w:rsid w:val="005D6DC8"/>
    <w:rsid w:val="005D6F0E"/>
    <w:rsid w:val="005E04E1"/>
    <w:rsid w:val="005E10A9"/>
    <w:rsid w:val="005E1286"/>
    <w:rsid w:val="005E31F2"/>
    <w:rsid w:val="005E39FE"/>
    <w:rsid w:val="005E4079"/>
    <w:rsid w:val="005E42C4"/>
    <w:rsid w:val="005E51DD"/>
    <w:rsid w:val="005E5870"/>
    <w:rsid w:val="005E58C5"/>
    <w:rsid w:val="005E69F7"/>
    <w:rsid w:val="005E6A2B"/>
    <w:rsid w:val="005E7855"/>
    <w:rsid w:val="005F01C4"/>
    <w:rsid w:val="005F083F"/>
    <w:rsid w:val="005F092B"/>
    <w:rsid w:val="005F1799"/>
    <w:rsid w:val="005F18B7"/>
    <w:rsid w:val="005F1956"/>
    <w:rsid w:val="005F1E4F"/>
    <w:rsid w:val="005F1FDA"/>
    <w:rsid w:val="005F2139"/>
    <w:rsid w:val="005F241F"/>
    <w:rsid w:val="005F34D9"/>
    <w:rsid w:val="005F3712"/>
    <w:rsid w:val="005F487A"/>
    <w:rsid w:val="005F5BA2"/>
    <w:rsid w:val="005F6041"/>
    <w:rsid w:val="005F60A0"/>
    <w:rsid w:val="005F6F5C"/>
    <w:rsid w:val="005F759F"/>
    <w:rsid w:val="005F7D36"/>
    <w:rsid w:val="00600438"/>
    <w:rsid w:val="006006C8"/>
    <w:rsid w:val="00600C6C"/>
    <w:rsid w:val="006011C4"/>
    <w:rsid w:val="006012CB"/>
    <w:rsid w:val="00601929"/>
    <w:rsid w:val="0060231A"/>
    <w:rsid w:val="006028B7"/>
    <w:rsid w:val="0060442A"/>
    <w:rsid w:val="00604619"/>
    <w:rsid w:val="00605036"/>
    <w:rsid w:val="00606E74"/>
    <w:rsid w:val="006070E9"/>
    <w:rsid w:val="0060728D"/>
    <w:rsid w:val="006077C5"/>
    <w:rsid w:val="00607CDF"/>
    <w:rsid w:val="00610978"/>
    <w:rsid w:val="00610D31"/>
    <w:rsid w:val="00611275"/>
    <w:rsid w:val="006116D3"/>
    <w:rsid w:val="00611A81"/>
    <w:rsid w:val="006120AF"/>
    <w:rsid w:val="00612161"/>
    <w:rsid w:val="006121A5"/>
    <w:rsid w:val="0061281C"/>
    <w:rsid w:val="00612A3A"/>
    <w:rsid w:val="0061332D"/>
    <w:rsid w:val="00613C25"/>
    <w:rsid w:val="00615CE6"/>
    <w:rsid w:val="00616027"/>
    <w:rsid w:val="00616852"/>
    <w:rsid w:val="006168FE"/>
    <w:rsid w:val="0061694E"/>
    <w:rsid w:val="00616B66"/>
    <w:rsid w:val="00616C47"/>
    <w:rsid w:val="00617A03"/>
    <w:rsid w:val="00617FB0"/>
    <w:rsid w:val="0062084F"/>
    <w:rsid w:val="006209BE"/>
    <w:rsid w:val="00621C28"/>
    <w:rsid w:val="00621C86"/>
    <w:rsid w:val="006228E1"/>
    <w:rsid w:val="00623115"/>
    <w:rsid w:val="0062338E"/>
    <w:rsid w:val="00623934"/>
    <w:rsid w:val="00624804"/>
    <w:rsid w:val="00624DC2"/>
    <w:rsid w:val="00625A00"/>
    <w:rsid w:val="00626910"/>
    <w:rsid w:val="006269A5"/>
    <w:rsid w:val="00626AED"/>
    <w:rsid w:val="00626D5B"/>
    <w:rsid w:val="00626FD2"/>
    <w:rsid w:val="006270D7"/>
    <w:rsid w:val="006270F7"/>
    <w:rsid w:val="006276FE"/>
    <w:rsid w:val="00627A43"/>
    <w:rsid w:val="006302F9"/>
    <w:rsid w:val="006303D0"/>
    <w:rsid w:val="006308EC"/>
    <w:rsid w:val="006311E0"/>
    <w:rsid w:val="00631ED5"/>
    <w:rsid w:val="006320E5"/>
    <w:rsid w:val="00632D3B"/>
    <w:rsid w:val="006331C4"/>
    <w:rsid w:val="0063541A"/>
    <w:rsid w:val="00635490"/>
    <w:rsid w:val="006358BF"/>
    <w:rsid w:val="00635A36"/>
    <w:rsid w:val="0063669F"/>
    <w:rsid w:val="0063677E"/>
    <w:rsid w:val="00636A1F"/>
    <w:rsid w:val="00636AE5"/>
    <w:rsid w:val="00637D4F"/>
    <w:rsid w:val="0064020A"/>
    <w:rsid w:val="006405E3"/>
    <w:rsid w:val="00641520"/>
    <w:rsid w:val="00641FA5"/>
    <w:rsid w:val="0064344C"/>
    <w:rsid w:val="0064384B"/>
    <w:rsid w:val="006439D7"/>
    <w:rsid w:val="00643D84"/>
    <w:rsid w:val="00645B64"/>
    <w:rsid w:val="00646822"/>
    <w:rsid w:val="00646B45"/>
    <w:rsid w:val="00646BBE"/>
    <w:rsid w:val="00646C0D"/>
    <w:rsid w:val="006475B9"/>
    <w:rsid w:val="00650218"/>
    <w:rsid w:val="006503DE"/>
    <w:rsid w:val="0065040E"/>
    <w:rsid w:val="00650DEA"/>
    <w:rsid w:val="00651219"/>
    <w:rsid w:val="00651610"/>
    <w:rsid w:val="00651CEA"/>
    <w:rsid w:val="0065205A"/>
    <w:rsid w:val="006525AD"/>
    <w:rsid w:val="0065263B"/>
    <w:rsid w:val="006527A4"/>
    <w:rsid w:val="00652C7C"/>
    <w:rsid w:val="00652C99"/>
    <w:rsid w:val="00652EAB"/>
    <w:rsid w:val="00652ED1"/>
    <w:rsid w:val="00653421"/>
    <w:rsid w:val="006539AE"/>
    <w:rsid w:val="006545B9"/>
    <w:rsid w:val="006549A1"/>
    <w:rsid w:val="00654FB1"/>
    <w:rsid w:val="0065571C"/>
    <w:rsid w:val="0065595D"/>
    <w:rsid w:val="00655F2C"/>
    <w:rsid w:val="00656117"/>
    <w:rsid w:val="00656225"/>
    <w:rsid w:val="0065642B"/>
    <w:rsid w:val="00656536"/>
    <w:rsid w:val="0065664A"/>
    <w:rsid w:val="00660C76"/>
    <w:rsid w:val="0066102E"/>
    <w:rsid w:val="00661ABC"/>
    <w:rsid w:val="00661F98"/>
    <w:rsid w:val="00662161"/>
    <w:rsid w:val="0066263F"/>
    <w:rsid w:val="006627F4"/>
    <w:rsid w:val="00663016"/>
    <w:rsid w:val="00663C47"/>
    <w:rsid w:val="00664544"/>
    <w:rsid w:val="00664D66"/>
    <w:rsid w:val="006666A4"/>
    <w:rsid w:val="0066684C"/>
    <w:rsid w:val="0066711F"/>
    <w:rsid w:val="0066772E"/>
    <w:rsid w:val="00667A8A"/>
    <w:rsid w:val="00670E3C"/>
    <w:rsid w:val="00671018"/>
    <w:rsid w:val="006710B9"/>
    <w:rsid w:val="006710D8"/>
    <w:rsid w:val="0067157E"/>
    <w:rsid w:val="0067163F"/>
    <w:rsid w:val="00671A8B"/>
    <w:rsid w:val="0067329E"/>
    <w:rsid w:val="00674116"/>
    <w:rsid w:val="00674657"/>
    <w:rsid w:val="0067493A"/>
    <w:rsid w:val="00674968"/>
    <w:rsid w:val="00674F49"/>
    <w:rsid w:val="006750C4"/>
    <w:rsid w:val="006758CD"/>
    <w:rsid w:val="006758F4"/>
    <w:rsid w:val="006760D3"/>
    <w:rsid w:val="006761F7"/>
    <w:rsid w:val="00676240"/>
    <w:rsid w:val="00676332"/>
    <w:rsid w:val="00676A64"/>
    <w:rsid w:val="00677847"/>
    <w:rsid w:val="006800AA"/>
    <w:rsid w:val="006803CB"/>
    <w:rsid w:val="00680623"/>
    <w:rsid w:val="00680631"/>
    <w:rsid w:val="006808AA"/>
    <w:rsid w:val="00681D8A"/>
    <w:rsid w:val="0068269A"/>
    <w:rsid w:val="00682CFB"/>
    <w:rsid w:val="00682E64"/>
    <w:rsid w:val="00682EFD"/>
    <w:rsid w:val="00683E44"/>
    <w:rsid w:val="006842AF"/>
    <w:rsid w:val="00685244"/>
    <w:rsid w:val="00686D98"/>
    <w:rsid w:val="0068701E"/>
    <w:rsid w:val="0068765B"/>
    <w:rsid w:val="00687714"/>
    <w:rsid w:val="00687F51"/>
    <w:rsid w:val="00691DE8"/>
    <w:rsid w:val="006920AC"/>
    <w:rsid w:val="00692916"/>
    <w:rsid w:val="00693832"/>
    <w:rsid w:val="006943D5"/>
    <w:rsid w:val="00694D66"/>
    <w:rsid w:val="006953D3"/>
    <w:rsid w:val="00695F06"/>
    <w:rsid w:val="006962D8"/>
    <w:rsid w:val="00696669"/>
    <w:rsid w:val="00696A0E"/>
    <w:rsid w:val="00696D72"/>
    <w:rsid w:val="00696F11"/>
    <w:rsid w:val="006975D9"/>
    <w:rsid w:val="006A1F7D"/>
    <w:rsid w:val="006A2064"/>
    <w:rsid w:val="006A2131"/>
    <w:rsid w:val="006A241B"/>
    <w:rsid w:val="006A2714"/>
    <w:rsid w:val="006A30E2"/>
    <w:rsid w:val="006A313C"/>
    <w:rsid w:val="006A320E"/>
    <w:rsid w:val="006A3B49"/>
    <w:rsid w:val="006A53C2"/>
    <w:rsid w:val="006A586C"/>
    <w:rsid w:val="006A5AB7"/>
    <w:rsid w:val="006A5AC3"/>
    <w:rsid w:val="006A62A2"/>
    <w:rsid w:val="006A64E1"/>
    <w:rsid w:val="006A66EC"/>
    <w:rsid w:val="006A6F0E"/>
    <w:rsid w:val="006A706D"/>
    <w:rsid w:val="006B1ACC"/>
    <w:rsid w:val="006B1C7B"/>
    <w:rsid w:val="006B1EFA"/>
    <w:rsid w:val="006B245F"/>
    <w:rsid w:val="006B2624"/>
    <w:rsid w:val="006B2D72"/>
    <w:rsid w:val="006B41F3"/>
    <w:rsid w:val="006B4370"/>
    <w:rsid w:val="006B46D4"/>
    <w:rsid w:val="006B4A27"/>
    <w:rsid w:val="006B4C22"/>
    <w:rsid w:val="006B5E25"/>
    <w:rsid w:val="006B68CD"/>
    <w:rsid w:val="006B718D"/>
    <w:rsid w:val="006B7BA1"/>
    <w:rsid w:val="006C01F3"/>
    <w:rsid w:val="006C02B5"/>
    <w:rsid w:val="006C109A"/>
    <w:rsid w:val="006C1472"/>
    <w:rsid w:val="006C1594"/>
    <w:rsid w:val="006C1ED5"/>
    <w:rsid w:val="006C1F3E"/>
    <w:rsid w:val="006C27BF"/>
    <w:rsid w:val="006C2893"/>
    <w:rsid w:val="006C2DCD"/>
    <w:rsid w:val="006C3A88"/>
    <w:rsid w:val="006C4321"/>
    <w:rsid w:val="006C4F64"/>
    <w:rsid w:val="006C59F0"/>
    <w:rsid w:val="006C5D16"/>
    <w:rsid w:val="006C6162"/>
    <w:rsid w:val="006C6350"/>
    <w:rsid w:val="006C7554"/>
    <w:rsid w:val="006C7803"/>
    <w:rsid w:val="006C785D"/>
    <w:rsid w:val="006C7919"/>
    <w:rsid w:val="006C7C53"/>
    <w:rsid w:val="006D0099"/>
    <w:rsid w:val="006D0A6D"/>
    <w:rsid w:val="006D15FC"/>
    <w:rsid w:val="006D1FB6"/>
    <w:rsid w:val="006D2A48"/>
    <w:rsid w:val="006D30EF"/>
    <w:rsid w:val="006D3C83"/>
    <w:rsid w:val="006D3FF7"/>
    <w:rsid w:val="006D43D7"/>
    <w:rsid w:val="006D458E"/>
    <w:rsid w:val="006D52B4"/>
    <w:rsid w:val="006D5449"/>
    <w:rsid w:val="006D54B6"/>
    <w:rsid w:val="006D5F7A"/>
    <w:rsid w:val="006D6517"/>
    <w:rsid w:val="006D67F0"/>
    <w:rsid w:val="006D7003"/>
    <w:rsid w:val="006E02B2"/>
    <w:rsid w:val="006E0DE3"/>
    <w:rsid w:val="006E129A"/>
    <w:rsid w:val="006E15A5"/>
    <w:rsid w:val="006E16DB"/>
    <w:rsid w:val="006E1846"/>
    <w:rsid w:val="006E1AC0"/>
    <w:rsid w:val="006E1AED"/>
    <w:rsid w:val="006E1D05"/>
    <w:rsid w:val="006E1D0B"/>
    <w:rsid w:val="006E267D"/>
    <w:rsid w:val="006E2745"/>
    <w:rsid w:val="006E2D60"/>
    <w:rsid w:val="006E3519"/>
    <w:rsid w:val="006E3D6E"/>
    <w:rsid w:val="006E50C0"/>
    <w:rsid w:val="006E5998"/>
    <w:rsid w:val="006E6778"/>
    <w:rsid w:val="006E6E08"/>
    <w:rsid w:val="006E7062"/>
    <w:rsid w:val="006E7769"/>
    <w:rsid w:val="006E7D48"/>
    <w:rsid w:val="006F0589"/>
    <w:rsid w:val="006F0DC1"/>
    <w:rsid w:val="006F1313"/>
    <w:rsid w:val="006F13D9"/>
    <w:rsid w:val="006F184B"/>
    <w:rsid w:val="006F1B6D"/>
    <w:rsid w:val="006F1F0A"/>
    <w:rsid w:val="006F349C"/>
    <w:rsid w:val="006F4017"/>
    <w:rsid w:val="006F4560"/>
    <w:rsid w:val="006F4FF8"/>
    <w:rsid w:val="006F516E"/>
    <w:rsid w:val="006F617C"/>
    <w:rsid w:val="006F64E9"/>
    <w:rsid w:val="006F6828"/>
    <w:rsid w:val="006F6B11"/>
    <w:rsid w:val="006F6C29"/>
    <w:rsid w:val="006F71E1"/>
    <w:rsid w:val="00700EA0"/>
    <w:rsid w:val="00701DF3"/>
    <w:rsid w:val="0070261C"/>
    <w:rsid w:val="00702627"/>
    <w:rsid w:val="00702BC6"/>
    <w:rsid w:val="007036E9"/>
    <w:rsid w:val="00703A5D"/>
    <w:rsid w:val="00705183"/>
    <w:rsid w:val="00705B08"/>
    <w:rsid w:val="007061E2"/>
    <w:rsid w:val="00706C0A"/>
    <w:rsid w:val="00706C1C"/>
    <w:rsid w:val="007105D6"/>
    <w:rsid w:val="00710896"/>
    <w:rsid w:val="00710C82"/>
    <w:rsid w:val="007110D4"/>
    <w:rsid w:val="007115BC"/>
    <w:rsid w:val="007115F9"/>
    <w:rsid w:val="00712C5F"/>
    <w:rsid w:val="00712CF7"/>
    <w:rsid w:val="007135CC"/>
    <w:rsid w:val="00713C4B"/>
    <w:rsid w:val="00713DDC"/>
    <w:rsid w:val="00714676"/>
    <w:rsid w:val="007153D8"/>
    <w:rsid w:val="00715FE0"/>
    <w:rsid w:val="007162AA"/>
    <w:rsid w:val="0071678C"/>
    <w:rsid w:val="00717D23"/>
    <w:rsid w:val="00717FA6"/>
    <w:rsid w:val="0072001E"/>
    <w:rsid w:val="0072161B"/>
    <w:rsid w:val="00722E4B"/>
    <w:rsid w:val="0072311E"/>
    <w:rsid w:val="0072314A"/>
    <w:rsid w:val="00723345"/>
    <w:rsid w:val="00723B40"/>
    <w:rsid w:val="00723BB9"/>
    <w:rsid w:val="00724321"/>
    <w:rsid w:val="00724CE7"/>
    <w:rsid w:val="007253AB"/>
    <w:rsid w:val="00725F7E"/>
    <w:rsid w:val="00726823"/>
    <w:rsid w:val="00726E41"/>
    <w:rsid w:val="00726ED0"/>
    <w:rsid w:val="00726FCF"/>
    <w:rsid w:val="007276F7"/>
    <w:rsid w:val="00727BC4"/>
    <w:rsid w:val="00731277"/>
    <w:rsid w:val="007312D1"/>
    <w:rsid w:val="0073134E"/>
    <w:rsid w:val="00731505"/>
    <w:rsid w:val="0073158B"/>
    <w:rsid w:val="00732701"/>
    <w:rsid w:val="00732839"/>
    <w:rsid w:val="00733B88"/>
    <w:rsid w:val="00733DBC"/>
    <w:rsid w:val="00734677"/>
    <w:rsid w:val="0073497F"/>
    <w:rsid w:val="007357B6"/>
    <w:rsid w:val="007358D2"/>
    <w:rsid w:val="0073596F"/>
    <w:rsid w:val="00736E2E"/>
    <w:rsid w:val="00737096"/>
    <w:rsid w:val="00737826"/>
    <w:rsid w:val="007401CB"/>
    <w:rsid w:val="007404FF"/>
    <w:rsid w:val="00740E13"/>
    <w:rsid w:val="007412EC"/>
    <w:rsid w:val="007415EC"/>
    <w:rsid w:val="0074237A"/>
    <w:rsid w:val="00742EBF"/>
    <w:rsid w:val="0074328A"/>
    <w:rsid w:val="00743B01"/>
    <w:rsid w:val="00744447"/>
    <w:rsid w:val="00744691"/>
    <w:rsid w:val="00745A9D"/>
    <w:rsid w:val="00746472"/>
    <w:rsid w:val="00746626"/>
    <w:rsid w:val="007475BD"/>
    <w:rsid w:val="00747ED0"/>
    <w:rsid w:val="007505EC"/>
    <w:rsid w:val="007519A6"/>
    <w:rsid w:val="0075280B"/>
    <w:rsid w:val="00753052"/>
    <w:rsid w:val="00753118"/>
    <w:rsid w:val="0075406B"/>
    <w:rsid w:val="007541FE"/>
    <w:rsid w:val="007547E7"/>
    <w:rsid w:val="00754A3B"/>
    <w:rsid w:val="00754A56"/>
    <w:rsid w:val="00755555"/>
    <w:rsid w:val="0075605E"/>
    <w:rsid w:val="00756830"/>
    <w:rsid w:val="00756F3C"/>
    <w:rsid w:val="00757D6E"/>
    <w:rsid w:val="007605D5"/>
    <w:rsid w:val="00760688"/>
    <w:rsid w:val="00761E1C"/>
    <w:rsid w:val="007622BC"/>
    <w:rsid w:val="007624A8"/>
    <w:rsid w:val="007626D7"/>
    <w:rsid w:val="00762DE1"/>
    <w:rsid w:val="00762ED2"/>
    <w:rsid w:val="007634CF"/>
    <w:rsid w:val="007639CF"/>
    <w:rsid w:val="00763E8D"/>
    <w:rsid w:val="00764E42"/>
    <w:rsid w:val="00765CD5"/>
    <w:rsid w:val="0076698C"/>
    <w:rsid w:val="007675F6"/>
    <w:rsid w:val="00767CE5"/>
    <w:rsid w:val="00770D62"/>
    <w:rsid w:val="007713F2"/>
    <w:rsid w:val="00771F0F"/>
    <w:rsid w:val="00772E30"/>
    <w:rsid w:val="00773FE8"/>
    <w:rsid w:val="00774B8D"/>
    <w:rsid w:val="007751EC"/>
    <w:rsid w:val="007753E3"/>
    <w:rsid w:val="00775565"/>
    <w:rsid w:val="00775840"/>
    <w:rsid w:val="007760BC"/>
    <w:rsid w:val="00776458"/>
    <w:rsid w:val="00776D50"/>
    <w:rsid w:val="007776F5"/>
    <w:rsid w:val="00777D26"/>
    <w:rsid w:val="007805E1"/>
    <w:rsid w:val="00781ADB"/>
    <w:rsid w:val="00781B2D"/>
    <w:rsid w:val="00781D04"/>
    <w:rsid w:val="00781FF3"/>
    <w:rsid w:val="007820C2"/>
    <w:rsid w:val="0078250E"/>
    <w:rsid w:val="00783056"/>
    <w:rsid w:val="007832F5"/>
    <w:rsid w:val="00783A0B"/>
    <w:rsid w:val="00783D09"/>
    <w:rsid w:val="00783E86"/>
    <w:rsid w:val="00785DF9"/>
    <w:rsid w:val="00786A41"/>
    <w:rsid w:val="00786AF9"/>
    <w:rsid w:val="00787B86"/>
    <w:rsid w:val="00790719"/>
    <w:rsid w:val="00790945"/>
    <w:rsid w:val="00791163"/>
    <w:rsid w:val="00791B5B"/>
    <w:rsid w:val="00791FF8"/>
    <w:rsid w:val="00792D52"/>
    <w:rsid w:val="0079328D"/>
    <w:rsid w:val="007936E1"/>
    <w:rsid w:val="00794241"/>
    <w:rsid w:val="00794FB3"/>
    <w:rsid w:val="00795456"/>
    <w:rsid w:val="007954EE"/>
    <w:rsid w:val="00796356"/>
    <w:rsid w:val="007965E5"/>
    <w:rsid w:val="007967F6"/>
    <w:rsid w:val="00797400"/>
    <w:rsid w:val="007978E8"/>
    <w:rsid w:val="00797D17"/>
    <w:rsid w:val="00797EDE"/>
    <w:rsid w:val="007A0B95"/>
    <w:rsid w:val="007A0FF0"/>
    <w:rsid w:val="007A16D6"/>
    <w:rsid w:val="007A1707"/>
    <w:rsid w:val="007A1DD0"/>
    <w:rsid w:val="007A23B3"/>
    <w:rsid w:val="007A2D2B"/>
    <w:rsid w:val="007A3290"/>
    <w:rsid w:val="007A3C3A"/>
    <w:rsid w:val="007A4577"/>
    <w:rsid w:val="007A487A"/>
    <w:rsid w:val="007A4CAB"/>
    <w:rsid w:val="007A4EFE"/>
    <w:rsid w:val="007A584E"/>
    <w:rsid w:val="007A5AF2"/>
    <w:rsid w:val="007A6021"/>
    <w:rsid w:val="007A6B39"/>
    <w:rsid w:val="007A6C2B"/>
    <w:rsid w:val="007A6C4F"/>
    <w:rsid w:val="007A7023"/>
    <w:rsid w:val="007A74C2"/>
    <w:rsid w:val="007A7E74"/>
    <w:rsid w:val="007A7EFE"/>
    <w:rsid w:val="007B10F0"/>
    <w:rsid w:val="007B269B"/>
    <w:rsid w:val="007B3B15"/>
    <w:rsid w:val="007B3CCB"/>
    <w:rsid w:val="007B4381"/>
    <w:rsid w:val="007B48DB"/>
    <w:rsid w:val="007B4996"/>
    <w:rsid w:val="007B4AD9"/>
    <w:rsid w:val="007B5199"/>
    <w:rsid w:val="007B542A"/>
    <w:rsid w:val="007B67D1"/>
    <w:rsid w:val="007B6851"/>
    <w:rsid w:val="007B6DB5"/>
    <w:rsid w:val="007B6E44"/>
    <w:rsid w:val="007B7387"/>
    <w:rsid w:val="007B7884"/>
    <w:rsid w:val="007B7FD4"/>
    <w:rsid w:val="007C0BBF"/>
    <w:rsid w:val="007C0DD1"/>
    <w:rsid w:val="007C0FF1"/>
    <w:rsid w:val="007C200F"/>
    <w:rsid w:val="007C277D"/>
    <w:rsid w:val="007C310C"/>
    <w:rsid w:val="007C352F"/>
    <w:rsid w:val="007C3773"/>
    <w:rsid w:val="007C40C7"/>
    <w:rsid w:val="007C5D45"/>
    <w:rsid w:val="007C62CC"/>
    <w:rsid w:val="007C6C43"/>
    <w:rsid w:val="007C6E37"/>
    <w:rsid w:val="007C75D3"/>
    <w:rsid w:val="007C7A21"/>
    <w:rsid w:val="007C7FA8"/>
    <w:rsid w:val="007D0D72"/>
    <w:rsid w:val="007D1FF2"/>
    <w:rsid w:val="007D213F"/>
    <w:rsid w:val="007D2B69"/>
    <w:rsid w:val="007D2FA3"/>
    <w:rsid w:val="007D398B"/>
    <w:rsid w:val="007D609B"/>
    <w:rsid w:val="007D6CD4"/>
    <w:rsid w:val="007D73A3"/>
    <w:rsid w:val="007D7950"/>
    <w:rsid w:val="007D7DAB"/>
    <w:rsid w:val="007E01A3"/>
    <w:rsid w:val="007E02C6"/>
    <w:rsid w:val="007E031F"/>
    <w:rsid w:val="007E0ACC"/>
    <w:rsid w:val="007E0BB9"/>
    <w:rsid w:val="007E0DCA"/>
    <w:rsid w:val="007E219B"/>
    <w:rsid w:val="007E274C"/>
    <w:rsid w:val="007E28E9"/>
    <w:rsid w:val="007E295F"/>
    <w:rsid w:val="007E2AF7"/>
    <w:rsid w:val="007E2C88"/>
    <w:rsid w:val="007E304D"/>
    <w:rsid w:val="007E35C3"/>
    <w:rsid w:val="007E3DCB"/>
    <w:rsid w:val="007E42A6"/>
    <w:rsid w:val="007E5ABE"/>
    <w:rsid w:val="007E6C0A"/>
    <w:rsid w:val="007E7417"/>
    <w:rsid w:val="007F007D"/>
    <w:rsid w:val="007F12B0"/>
    <w:rsid w:val="007F1460"/>
    <w:rsid w:val="007F23B7"/>
    <w:rsid w:val="007F344D"/>
    <w:rsid w:val="007F4597"/>
    <w:rsid w:val="007F46F5"/>
    <w:rsid w:val="007F470D"/>
    <w:rsid w:val="007F4E8A"/>
    <w:rsid w:val="007F4EDB"/>
    <w:rsid w:val="007F4F1D"/>
    <w:rsid w:val="007F6724"/>
    <w:rsid w:val="007F6D15"/>
    <w:rsid w:val="007F6F03"/>
    <w:rsid w:val="007F7CCF"/>
    <w:rsid w:val="008005B7"/>
    <w:rsid w:val="00800697"/>
    <w:rsid w:val="00800E87"/>
    <w:rsid w:val="00801B9C"/>
    <w:rsid w:val="008027E2"/>
    <w:rsid w:val="008028CD"/>
    <w:rsid w:val="00802BD8"/>
    <w:rsid w:val="00802FAE"/>
    <w:rsid w:val="0080315D"/>
    <w:rsid w:val="008033E9"/>
    <w:rsid w:val="00803454"/>
    <w:rsid w:val="00803612"/>
    <w:rsid w:val="0080374B"/>
    <w:rsid w:val="00803864"/>
    <w:rsid w:val="00805063"/>
    <w:rsid w:val="008051A2"/>
    <w:rsid w:val="00805430"/>
    <w:rsid w:val="0080560E"/>
    <w:rsid w:val="00806EC7"/>
    <w:rsid w:val="00807977"/>
    <w:rsid w:val="008079E4"/>
    <w:rsid w:val="00807E2D"/>
    <w:rsid w:val="00807F3B"/>
    <w:rsid w:val="00810465"/>
    <w:rsid w:val="008104DC"/>
    <w:rsid w:val="00810D55"/>
    <w:rsid w:val="008128D9"/>
    <w:rsid w:val="00812929"/>
    <w:rsid w:val="008136C5"/>
    <w:rsid w:val="00813D5D"/>
    <w:rsid w:val="00813F63"/>
    <w:rsid w:val="00814CA6"/>
    <w:rsid w:val="0081581A"/>
    <w:rsid w:val="00815CF9"/>
    <w:rsid w:val="0081619E"/>
    <w:rsid w:val="00816574"/>
    <w:rsid w:val="00816AFF"/>
    <w:rsid w:val="00817C8A"/>
    <w:rsid w:val="00817E80"/>
    <w:rsid w:val="00820AD0"/>
    <w:rsid w:val="00820CC9"/>
    <w:rsid w:val="00821403"/>
    <w:rsid w:val="00821E6E"/>
    <w:rsid w:val="00822058"/>
    <w:rsid w:val="00822C89"/>
    <w:rsid w:val="00822D86"/>
    <w:rsid w:val="00822DBC"/>
    <w:rsid w:val="00823B8B"/>
    <w:rsid w:val="00823D60"/>
    <w:rsid w:val="00824808"/>
    <w:rsid w:val="00824B43"/>
    <w:rsid w:val="00824BC9"/>
    <w:rsid w:val="00825510"/>
    <w:rsid w:val="0082612B"/>
    <w:rsid w:val="00826930"/>
    <w:rsid w:val="00826ACE"/>
    <w:rsid w:val="00826C09"/>
    <w:rsid w:val="00827B9F"/>
    <w:rsid w:val="00827F09"/>
    <w:rsid w:val="0083018A"/>
    <w:rsid w:val="008306B0"/>
    <w:rsid w:val="008306EB"/>
    <w:rsid w:val="008307A9"/>
    <w:rsid w:val="00830F44"/>
    <w:rsid w:val="008310E5"/>
    <w:rsid w:val="0083137E"/>
    <w:rsid w:val="00831D06"/>
    <w:rsid w:val="008321EF"/>
    <w:rsid w:val="00832768"/>
    <w:rsid w:val="00832FA0"/>
    <w:rsid w:val="00833000"/>
    <w:rsid w:val="008339D4"/>
    <w:rsid w:val="00833C03"/>
    <w:rsid w:val="00833C43"/>
    <w:rsid w:val="008346B8"/>
    <w:rsid w:val="00836AD5"/>
    <w:rsid w:val="008370C1"/>
    <w:rsid w:val="00837497"/>
    <w:rsid w:val="00837563"/>
    <w:rsid w:val="00841215"/>
    <w:rsid w:val="00841253"/>
    <w:rsid w:val="008420CB"/>
    <w:rsid w:val="008422F3"/>
    <w:rsid w:val="00842303"/>
    <w:rsid w:val="00842472"/>
    <w:rsid w:val="008426FB"/>
    <w:rsid w:val="00842E14"/>
    <w:rsid w:val="00843305"/>
    <w:rsid w:val="0084429B"/>
    <w:rsid w:val="00844699"/>
    <w:rsid w:val="008446BA"/>
    <w:rsid w:val="00844A27"/>
    <w:rsid w:val="00844D18"/>
    <w:rsid w:val="00845001"/>
    <w:rsid w:val="00845087"/>
    <w:rsid w:val="0084517F"/>
    <w:rsid w:val="00846393"/>
    <w:rsid w:val="00846B61"/>
    <w:rsid w:val="00847274"/>
    <w:rsid w:val="008475E2"/>
    <w:rsid w:val="00847BA5"/>
    <w:rsid w:val="008502C6"/>
    <w:rsid w:val="00850CAB"/>
    <w:rsid w:val="0085195A"/>
    <w:rsid w:val="00851A2A"/>
    <w:rsid w:val="00851DCA"/>
    <w:rsid w:val="008529D1"/>
    <w:rsid w:val="00852D5B"/>
    <w:rsid w:val="00853CA6"/>
    <w:rsid w:val="0085424B"/>
    <w:rsid w:val="00854883"/>
    <w:rsid w:val="00854BD2"/>
    <w:rsid w:val="00854C8E"/>
    <w:rsid w:val="00854D95"/>
    <w:rsid w:val="00855041"/>
    <w:rsid w:val="00855D83"/>
    <w:rsid w:val="00856757"/>
    <w:rsid w:val="00856879"/>
    <w:rsid w:val="00857482"/>
    <w:rsid w:val="00857C70"/>
    <w:rsid w:val="00860070"/>
    <w:rsid w:val="00860F74"/>
    <w:rsid w:val="00861A8A"/>
    <w:rsid w:val="008621F7"/>
    <w:rsid w:val="00862552"/>
    <w:rsid w:val="00862779"/>
    <w:rsid w:val="00862D1E"/>
    <w:rsid w:val="008632FB"/>
    <w:rsid w:val="00863D98"/>
    <w:rsid w:val="00863FFA"/>
    <w:rsid w:val="008644A6"/>
    <w:rsid w:val="0086458D"/>
    <w:rsid w:val="0086468D"/>
    <w:rsid w:val="00864900"/>
    <w:rsid w:val="00865F5E"/>
    <w:rsid w:val="00866839"/>
    <w:rsid w:val="00867453"/>
    <w:rsid w:val="00871767"/>
    <w:rsid w:val="00871DA7"/>
    <w:rsid w:val="00873107"/>
    <w:rsid w:val="008747A3"/>
    <w:rsid w:val="00874873"/>
    <w:rsid w:val="0087515B"/>
    <w:rsid w:val="008753A0"/>
    <w:rsid w:val="00875D2F"/>
    <w:rsid w:val="00876080"/>
    <w:rsid w:val="0087631D"/>
    <w:rsid w:val="00876BCC"/>
    <w:rsid w:val="00877283"/>
    <w:rsid w:val="00877892"/>
    <w:rsid w:val="008801E3"/>
    <w:rsid w:val="0088022E"/>
    <w:rsid w:val="008826E1"/>
    <w:rsid w:val="00883941"/>
    <w:rsid w:val="00884299"/>
    <w:rsid w:val="00884368"/>
    <w:rsid w:val="00884544"/>
    <w:rsid w:val="0088495D"/>
    <w:rsid w:val="00884C6F"/>
    <w:rsid w:val="00884E88"/>
    <w:rsid w:val="00886474"/>
    <w:rsid w:val="008869BE"/>
    <w:rsid w:val="00886C7D"/>
    <w:rsid w:val="008872CF"/>
    <w:rsid w:val="00887E0A"/>
    <w:rsid w:val="0089060B"/>
    <w:rsid w:val="00890809"/>
    <w:rsid w:val="00890C37"/>
    <w:rsid w:val="008917B1"/>
    <w:rsid w:val="00891D91"/>
    <w:rsid w:val="0089348F"/>
    <w:rsid w:val="008935F0"/>
    <w:rsid w:val="008942F6"/>
    <w:rsid w:val="008948DA"/>
    <w:rsid w:val="0089517C"/>
    <w:rsid w:val="00895190"/>
    <w:rsid w:val="008953A4"/>
    <w:rsid w:val="00895740"/>
    <w:rsid w:val="00895F60"/>
    <w:rsid w:val="0089608A"/>
    <w:rsid w:val="0089636A"/>
    <w:rsid w:val="00896668"/>
    <w:rsid w:val="00897FA1"/>
    <w:rsid w:val="008A01DE"/>
    <w:rsid w:val="008A0C6C"/>
    <w:rsid w:val="008A1A94"/>
    <w:rsid w:val="008A1BCD"/>
    <w:rsid w:val="008A25A1"/>
    <w:rsid w:val="008A2695"/>
    <w:rsid w:val="008A29DC"/>
    <w:rsid w:val="008A33C8"/>
    <w:rsid w:val="008A3588"/>
    <w:rsid w:val="008A3650"/>
    <w:rsid w:val="008A3BCF"/>
    <w:rsid w:val="008A425C"/>
    <w:rsid w:val="008A462B"/>
    <w:rsid w:val="008A4AE4"/>
    <w:rsid w:val="008A5512"/>
    <w:rsid w:val="008A5DA8"/>
    <w:rsid w:val="008A69D1"/>
    <w:rsid w:val="008A6BCB"/>
    <w:rsid w:val="008A71B3"/>
    <w:rsid w:val="008A758F"/>
    <w:rsid w:val="008B06E9"/>
    <w:rsid w:val="008B0AD2"/>
    <w:rsid w:val="008B1D25"/>
    <w:rsid w:val="008B2551"/>
    <w:rsid w:val="008B295D"/>
    <w:rsid w:val="008B3148"/>
    <w:rsid w:val="008B3698"/>
    <w:rsid w:val="008B4605"/>
    <w:rsid w:val="008B4E5E"/>
    <w:rsid w:val="008B54A0"/>
    <w:rsid w:val="008B6C65"/>
    <w:rsid w:val="008B6DC6"/>
    <w:rsid w:val="008B7438"/>
    <w:rsid w:val="008B7FC0"/>
    <w:rsid w:val="008C08EA"/>
    <w:rsid w:val="008C0C45"/>
    <w:rsid w:val="008C1739"/>
    <w:rsid w:val="008C19A0"/>
    <w:rsid w:val="008C1C79"/>
    <w:rsid w:val="008C20A5"/>
    <w:rsid w:val="008C2518"/>
    <w:rsid w:val="008C2C68"/>
    <w:rsid w:val="008C31F9"/>
    <w:rsid w:val="008C3246"/>
    <w:rsid w:val="008C326C"/>
    <w:rsid w:val="008C4093"/>
    <w:rsid w:val="008C43B9"/>
    <w:rsid w:val="008C5084"/>
    <w:rsid w:val="008C5787"/>
    <w:rsid w:val="008C59EC"/>
    <w:rsid w:val="008C5B05"/>
    <w:rsid w:val="008C699B"/>
    <w:rsid w:val="008C6DD5"/>
    <w:rsid w:val="008D0B0B"/>
    <w:rsid w:val="008D1815"/>
    <w:rsid w:val="008D2017"/>
    <w:rsid w:val="008D220D"/>
    <w:rsid w:val="008D240F"/>
    <w:rsid w:val="008D24D1"/>
    <w:rsid w:val="008D28F7"/>
    <w:rsid w:val="008D2A59"/>
    <w:rsid w:val="008D2F83"/>
    <w:rsid w:val="008D3607"/>
    <w:rsid w:val="008D36D4"/>
    <w:rsid w:val="008D3C78"/>
    <w:rsid w:val="008D3CFC"/>
    <w:rsid w:val="008D3D37"/>
    <w:rsid w:val="008D4174"/>
    <w:rsid w:val="008D47AF"/>
    <w:rsid w:val="008D77D4"/>
    <w:rsid w:val="008E0126"/>
    <w:rsid w:val="008E07EF"/>
    <w:rsid w:val="008E0A21"/>
    <w:rsid w:val="008E0AB9"/>
    <w:rsid w:val="008E1488"/>
    <w:rsid w:val="008E1BDC"/>
    <w:rsid w:val="008E1EDA"/>
    <w:rsid w:val="008E2289"/>
    <w:rsid w:val="008E2579"/>
    <w:rsid w:val="008E25A7"/>
    <w:rsid w:val="008E27EF"/>
    <w:rsid w:val="008E3062"/>
    <w:rsid w:val="008E31F7"/>
    <w:rsid w:val="008E3665"/>
    <w:rsid w:val="008E4469"/>
    <w:rsid w:val="008E7C67"/>
    <w:rsid w:val="008E7CE5"/>
    <w:rsid w:val="008F1C43"/>
    <w:rsid w:val="008F1CBB"/>
    <w:rsid w:val="008F2469"/>
    <w:rsid w:val="008F250A"/>
    <w:rsid w:val="008F2932"/>
    <w:rsid w:val="008F36C3"/>
    <w:rsid w:val="008F37BB"/>
    <w:rsid w:val="008F4445"/>
    <w:rsid w:val="008F5423"/>
    <w:rsid w:val="008F5756"/>
    <w:rsid w:val="008F57A3"/>
    <w:rsid w:val="008F5E79"/>
    <w:rsid w:val="008F69F7"/>
    <w:rsid w:val="008F7B6F"/>
    <w:rsid w:val="00900A09"/>
    <w:rsid w:val="0090173C"/>
    <w:rsid w:val="00901F4C"/>
    <w:rsid w:val="00901FC6"/>
    <w:rsid w:val="00902423"/>
    <w:rsid w:val="00903409"/>
    <w:rsid w:val="0090348F"/>
    <w:rsid w:val="009039A4"/>
    <w:rsid w:val="00904237"/>
    <w:rsid w:val="00904637"/>
    <w:rsid w:val="00905729"/>
    <w:rsid w:val="009058E5"/>
    <w:rsid w:val="0090595B"/>
    <w:rsid w:val="009059D4"/>
    <w:rsid w:val="00906ABB"/>
    <w:rsid w:val="00907704"/>
    <w:rsid w:val="00907EF5"/>
    <w:rsid w:val="0091013F"/>
    <w:rsid w:val="0091081B"/>
    <w:rsid w:val="00910960"/>
    <w:rsid w:val="0091119F"/>
    <w:rsid w:val="009113DE"/>
    <w:rsid w:val="0091171B"/>
    <w:rsid w:val="009118C0"/>
    <w:rsid w:val="009118D6"/>
    <w:rsid w:val="00912DA8"/>
    <w:rsid w:val="00912E04"/>
    <w:rsid w:val="009133FE"/>
    <w:rsid w:val="0091393B"/>
    <w:rsid w:val="009144F8"/>
    <w:rsid w:val="00914C0E"/>
    <w:rsid w:val="009155C1"/>
    <w:rsid w:val="009156BD"/>
    <w:rsid w:val="009157AC"/>
    <w:rsid w:val="00916081"/>
    <w:rsid w:val="0091617B"/>
    <w:rsid w:val="009162E4"/>
    <w:rsid w:val="00916ACE"/>
    <w:rsid w:val="00916D59"/>
    <w:rsid w:val="00916F49"/>
    <w:rsid w:val="00916FEB"/>
    <w:rsid w:val="0091739A"/>
    <w:rsid w:val="00917980"/>
    <w:rsid w:val="00917C16"/>
    <w:rsid w:val="009201F5"/>
    <w:rsid w:val="0092081F"/>
    <w:rsid w:val="00921193"/>
    <w:rsid w:val="00921AAC"/>
    <w:rsid w:val="00921C83"/>
    <w:rsid w:val="00921E74"/>
    <w:rsid w:val="00922035"/>
    <w:rsid w:val="00922684"/>
    <w:rsid w:val="00922995"/>
    <w:rsid w:val="00922B6C"/>
    <w:rsid w:val="00922BFE"/>
    <w:rsid w:val="00923317"/>
    <w:rsid w:val="00923B86"/>
    <w:rsid w:val="00923CB4"/>
    <w:rsid w:val="00924BB7"/>
    <w:rsid w:val="00924BD4"/>
    <w:rsid w:val="00924C37"/>
    <w:rsid w:val="009254A7"/>
    <w:rsid w:val="00925AB8"/>
    <w:rsid w:val="009268C5"/>
    <w:rsid w:val="00926D15"/>
    <w:rsid w:val="00926EDC"/>
    <w:rsid w:val="00927045"/>
    <w:rsid w:val="00927E83"/>
    <w:rsid w:val="00927F30"/>
    <w:rsid w:val="0093039B"/>
    <w:rsid w:val="009311D5"/>
    <w:rsid w:val="009313F5"/>
    <w:rsid w:val="00931BE0"/>
    <w:rsid w:val="00932061"/>
    <w:rsid w:val="00932135"/>
    <w:rsid w:val="0093291C"/>
    <w:rsid w:val="0093374E"/>
    <w:rsid w:val="0093385F"/>
    <w:rsid w:val="009347E4"/>
    <w:rsid w:val="00934A38"/>
    <w:rsid w:val="009356B5"/>
    <w:rsid w:val="00935902"/>
    <w:rsid w:val="00935AA2"/>
    <w:rsid w:val="00935EFB"/>
    <w:rsid w:val="00935F63"/>
    <w:rsid w:val="00936FD9"/>
    <w:rsid w:val="009379B0"/>
    <w:rsid w:val="00937AD3"/>
    <w:rsid w:val="00937BA7"/>
    <w:rsid w:val="009400D3"/>
    <w:rsid w:val="00942548"/>
    <w:rsid w:val="009428AE"/>
    <w:rsid w:val="00942B7B"/>
    <w:rsid w:val="00943701"/>
    <w:rsid w:val="009438CC"/>
    <w:rsid w:val="009450DE"/>
    <w:rsid w:val="0094542F"/>
    <w:rsid w:val="0094638D"/>
    <w:rsid w:val="0094795E"/>
    <w:rsid w:val="00947C5E"/>
    <w:rsid w:val="0095031A"/>
    <w:rsid w:val="0095067B"/>
    <w:rsid w:val="00950F38"/>
    <w:rsid w:val="009515A1"/>
    <w:rsid w:val="00952055"/>
    <w:rsid w:val="009522EC"/>
    <w:rsid w:val="009523E0"/>
    <w:rsid w:val="00952423"/>
    <w:rsid w:val="0095315C"/>
    <w:rsid w:val="0095332D"/>
    <w:rsid w:val="00953BCC"/>
    <w:rsid w:val="00953D06"/>
    <w:rsid w:val="00954FF4"/>
    <w:rsid w:val="009562DF"/>
    <w:rsid w:val="009565ED"/>
    <w:rsid w:val="0095669B"/>
    <w:rsid w:val="00957D6A"/>
    <w:rsid w:val="00957E02"/>
    <w:rsid w:val="0096006E"/>
    <w:rsid w:val="00960D6F"/>
    <w:rsid w:val="009611FF"/>
    <w:rsid w:val="00961C90"/>
    <w:rsid w:val="009623AB"/>
    <w:rsid w:val="00962CCD"/>
    <w:rsid w:val="009637F5"/>
    <w:rsid w:val="00963D83"/>
    <w:rsid w:val="009652EF"/>
    <w:rsid w:val="00965983"/>
    <w:rsid w:val="0096599B"/>
    <w:rsid w:val="0096733B"/>
    <w:rsid w:val="00967C3D"/>
    <w:rsid w:val="00967D8D"/>
    <w:rsid w:val="00970437"/>
    <w:rsid w:val="009707AE"/>
    <w:rsid w:val="00970BA5"/>
    <w:rsid w:val="00971727"/>
    <w:rsid w:val="00972087"/>
    <w:rsid w:val="00973180"/>
    <w:rsid w:val="00973284"/>
    <w:rsid w:val="009733AE"/>
    <w:rsid w:val="00973A0C"/>
    <w:rsid w:val="009744BB"/>
    <w:rsid w:val="009746A3"/>
    <w:rsid w:val="00974814"/>
    <w:rsid w:val="009748A3"/>
    <w:rsid w:val="00975368"/>
    <w:rsid w:val="0097537A"/>
    <w:rsid w:val="00975532"/>
    <w:rsid w:val="009759B8"/>
    <w:rsid w:val="0097678A"/>
    <w:rsid w:val="009767F4"/>
    <w:rsid w:val="00976AA0"/>
    <w:rsid w:val="0098047E"/>
    <w:rsid w:val="009810F7"/>
    <w:rsid w:val="00981172"/>
    <w:rsid w:val="009816AE"/>
    <w:rsid w:val="0098205B"/>
    <w:rsid w:val="00982588"/>
    <w:rsid w:val="00982B11"/>
    <w:rsid w:val="00982B6F"/>
    <w:rsid w:val="00982F3E"/>
    <w:rsid w:val="0098332C"/>
    <w:rsid w:val="00983877"/>
    <w:rsid w:val="00983A68"/>
    <w:rsid w:val="00984050"/>
    <w:rsid w:val="00985BD1"/>
    <w:rsid w:val="00985E46"/>
    <w:rsid w:val="00986089"/>
    <w:rsid w:val="009864F7"/>
    <w:rsid w:val="00986BC2"/>
    <w:rsid w:val="00986CE7"/>
    <w:rsid w:val="00987EBF"/>
    <w:rsid w:val="00990B81"/>
    <w:rsid w:val="00991275"/>
    <w:rsid w:val="00991931"/>
    <w:rsid w:val="00991939"/>
    <w:rsid w:val="00991D68"/>
    <w:rsid w:val="009928C5"/>
    <w:rsid w:val="009935EA"/>
    <w:rsid w:val="00993D04"/>
    <w:rsid w:val="00994486"/>
    <w:rsid w:val="00994503"/>
    <w:rsid w:val="00994773"/>
    <w:rsid w:val="00994880"/>
    <w:rsid w:val="00994C03"/>
    <w:rsid w:val="009959CA"/>
    <w:rsid w:val="00995B71"/>
    <w:rsid w:val="00995C89"/>
    <w:rsid w:val="00995CA1"/>
    <w:rsid w:val="009963CF"/>
    <w:rsid w:val="00996AB3"/>
    <w:rsid w:val="00997F3E"/>
    <w:rsid w:val="009A15A4"/>
    <w:rsid w:val="009A1E23"/>
    <w:rsid w:val="009A23CA"/>
    <w:rsid w:val="009A2AD7"/>
    <w:rsid w:val="009A3395"/>
    <w:rsid w:val="009A40D3"/>
    <w:rsid w:val="009A4997"/>
    <w:rsid w:val="009A49A0"/>
    <w:rsid w:val="009A4C01"/>
    <w:rsid w:val="009A5242"/>
    <w:rsid w:val="009A6475"/>
    <w:rsid w:val="009A6664"/>
    <w:rsid w:val="009A6E17"/>
    <w:rsid w:val="009A769B"/>
    <w:rsid w:val="009A7B07"/>
    <w:rsid w:val="009A7DD1"/>
    <w:rsid w:val="009A7F0F"/>
    <w:rsid w:val="009B0EED"/>
    <w:rsid w:val="009B1272"/>
    <w:rsid w:val="009B1556"/>
    <w:rsid w:val="009B167B"/>
    <w:rsid w:val="009B1F46"/>
    <w:rsid w:val="009B2122"/>
    <w:rsid w:val="009B24D7"/>
    <w:rsid w:val="009B2D25"/>
    <w:rsid w:val="009B39EC"/>
    <w:rsid w:val="009B3AE7"/>
    <w:rsid w:val="009B41B9"/>
    <w:rsid w:val="009B4DFC"/>
    <w:rsid w:val="009B5C6A"/>
    <w:rsid w:val="009B7143"/>
    <w:rsid w:val="009B743B"/>
    <w:rsid w:val="009B7C5B"/>
    <w:rsid w:val="009C0B0E"/>
    <w:rsid w:val="009C0BC3"/>
    <w:rsid w:val="009C0E79"/>
    <w:rsid w:val="009C17FA"/>
    <w:rsid w:val="009C1850"/>
    <w:rsid w:val="009C1AFC"/>
    <w:rsid w:val="009C1B79"/>
    <w:rsid w:val="009C1DD7"/>
    <w:rsid w:val="009C2358"/>
    <w:rsid w:val="009C2369"/>
    <w:rsid w:val="009C2ADD"/>
    <w:rsid w:val="009C45DB"/>
    <w:rsid w:val="009C4908"/>
    <w:rsid w:val="009C4B31"/>
    <w:rsid w:val="009C548D"/>
    <w:rsid w:val="009C5682"/>
    <w:rsid w:val="009C58F5"/>
    <w:rsid w:val="009C5F8A"/>
    <w:rsid w:val="009C6555"/>
    <w:rsid w:val="009C6FB6"/>
    <w:rsid w:val="009C7BF3"/>
    <w:rsid w:val="009D1285"/>
    <w:rsid w:val="009D1E12"/>
    <w:rsid w:val="009D2E14"/>
    <w:rsid w:val="009D3303"/>
    <w:rsid w:val="009D330F"/>
    <w:rsid w:val="009D3709"/>
    <w:rsid w:val="009D379D"/>
    <w:rsid w:val="009D37BF"/>
    <w:rsid w:val="009D5303"/>
    <w:rsid w:val="009D5521"/>
    <w:rsid w:val="009D6601"/>
    <w:rsid w:val="009D6B04"/>
    <w:rsid w:val="009D776E"/>
    <w:rsid w:val="009E04EC"/>
    <w:rsid w:val="009E0691"/>
    <w:rsid w:val="009E0C26"/>
    <w:rsid w:val="009E16EA"/>
    <w:rsid w:val="009E1D8F"/>
    <w:rsid w:val="009E2C53"/>
    <w:rsid w:val="009E331C"/>
    <w:rsid w:val="009E3340"/>
    <w:rsid w:val="009E38F3"/>
    <w:rsid w:val="009E3CFB"/>
    <w:rsid w:val="009E3E3C"/>
    <w:rsid w:val="009E4767"/>
    <w:rsid w:val="009E4A86"/>
    <w:rsid w:val="009E67D8"/>
    <w:rsid w:val="009E6C32"/>
    <w:rsid w:val="009F0055"/>
    <w:rsid w:val="009F0125"/>
    <w:rsid w:val="009F05D9"/>
    <w:rsid w:val="009F073C"/>
    <w:rsid w:val="009F094E"/>
    <w:rsid w:val="009F09DB"/>
    <w:rsid w:val="009F0B55"/>
    <w:rsid w:val="009F188A"/>
    <w:rsid w:val="009F1FB6"/>
    <w:rsid w:val="009F27A5"/>
    <w:rsid w:val="009F27ED"/>
    <w:rsid w:val="009F3D7D"/>
    <w:rsid w:val="009F40F9"/>
    <w:rsid w:val="009F43A3"/>
    <w:rsid w:val="009F460D"/>
    <w:rsid w:val="009F4856"/>
    <w:rsid w:val="009F5AF1"/>
    <w:rsid w:val="009F5C96"/>
    <w:rsid w:val="009F6196"/>
    <w:rsid w:val="009F6A98"/>
    <w:rsid w:val="009F70B5"/>
    <w:rsid w:val="009F7496"/>
    <w:rsid w:val="00A005F5"/>
    <w:rsid w:val="00A01409"/>
    <w:rsid w:val="00A0154A"/>
    <w:rsid w:val="00A01B10"/>
    <w:rsid w:val="00A025E6"/>
    <w:rsid w:val="00A035C9"/>
    <w:rsid w:val="00A036B4"/>
    <w:rsid w:val="00A0382D"/>
    <w:rsid w:val="00A048B7"/>
    <w:rsid w:val="00A04B60"/>
    <w:rsid w:val="00A04ED4"/>
    <w:rsid w:val="00A05078"/>
    <w:rsid w:val="00A0507E"/>
    <w:rsid w:val="00A0509F"/>
    <w:rsid w:val="00A05118"/>
    <w:rsid w:val="00A05479"/>
    <w:rsid w:val="00A05A0F"/>
    <w:rsid w:val="00A064A2"/>
    <w:rsid w:val="00A064C2"/>
    <w:rsid w:val="00A06E5D"/>
    <w:rsid w:val="00A1075B"/>
    <w:rsid w:val="00A1082A"/>
    <w:rsid w:val="00A10F30"/>
    <w:rsid w:val="00A11166"/>
    <w:rsid w:val="00A1174D"/>
    <w:rsid w:val="00A1376D"/>
    <w:rsid w:val="00A13A70"/>
    <w:rsid w:val="00A14487"/>
    <w:rsid w:val="00A14DDD"/>
    <w:rsid w:val="00A157AC"/>
    <w:rsid w:val="00A15B6C"/>
    <w:rsid w:val="00A15F81"/>
    <w:rsid w:val="00A1639E"/>
    <w:rsid w:val="00A17333"/>
    <w:rsid w:val="00A17B4A"/>
    <w:rsid w:val="00A17B72"/>
    <w:rsid w:val="00A20564"/>
    <w:rsid w:val="00A2085D"/>
    <w:rsid w:val="00A21B3D"/>
    <w:rsid w:val="00A222C8"/>
    <w:rsid w:val="00A22D4C"/>
    <w:rsid w:val="00A23889"/>
    <w:rsid w:val="00A23AA1"/>
    <w:rsid w:val="00A24041"/>
    <w:rsid w:val="00A24168"/>
    <w:rsid w:val="00A242B4"/>
    <w:rsid w:val="00A24D6B"/>
    <w:rsid w:val="00A251E3"/>
    <w:rsid w:val="00A25949"/>
    <w:rsid w:val="00A25E92"/>
    <w:rsid w:val="00A263DB"/>
    <w:rsid w:val="00A26476"/>
    <w:rsid w:val="00A26CAB"/>
    <w:rsid w:val="00A273D1"/>
    <w:rsid w:val="00A274A4"/>
    <w:rsid w:val="00A27594"/>
    <w:rsid w:val="00A276F0"/>
    <w:rsid w:val="00A27D4C"/>
    <w:rsid w:val="00A31222"/>
    <w:rsid w:val="00A31968"/>
    <w:rsid w:val="00A31B6B"/>
    <w:rsid w:val="00A31BAD"/>
    <w:rsid w:val="00A31E67"/>
    <w:rsid w:val="00A338C8"/>
    <w:rsid w:val="00A33913"/>
    <w:rsid w:val="00A340C1"/>
    <w:rsid w:val="00A347DE"/>
    <w:rsid w:val="00A352F8"/>
    <w:rsid w:val="00A3542C"/>
    <w:rsid w:val="00A35CA8"/>
    <w:rsid w:val="00A36031"/>
    <w:rsid w:val="00A36758"/>
    <w:rsid w:val="00A37C18"/>
    <w:rsid w:val="00A40A27"/>
    <w:rsid w:val="00A40B81"/>
    <w:rsid w:val="00A414C8"/>
    <w:rsid w:val="00A41D14"/>
    <w:rsid w:val="00A433A6"/>
    <w:rsid w:val="00A434D2"/>
    <w:rsid w:val="00A43C3F"/>
    <w:rsid w:val="00A44015"/>
    <w:rsid w:val="00A442E3"/>
    <w:rsid w:val="00A44530"/>
    <w:rsid w:val="00A4523D"/>
    <w:rsid w:val="00A45931"/>
    <w:rsid w:val="00A462E9"/>
    <w:rsid w:val="00A4727E"/>
    <w:rsid w:val="00A4751D"/>
    <w:rsid w:val="00A47843"/>
    <w:rsid w:val="00A47EEA"/>
    <w:rsid w:val="00A50322"/>
    <w:rsid w:val="00A50B44"/>
    <w:rsid w:val="00A50F2B"/>
    <w:rsid w:val="00A517D5"/>
    <w:rsid w:val="00A5205C"/>
    <w:rsid w:val="00A52934"/>
    <w:rsid w:val="00A53020"/>
    <w:rsid w:val="00A537EA"/>
    <w:rsid w:val="00A53C99"/>
    <w:rsid w:val="00A54626"/>
    <w:rsid w:val="00A54865"/>
    <w:rsid w:val="00A54D8B"/>
    <w:rsid w:val="00A5552B"/>
    <w:rsid w:val="00A5600E"/>
    <w:rsid w:val="00A561A1"/>
    <w:rsid w:val="00A566F7"/>
    <w:rsid w:val="00A56B9B"/>
    <w:rsid w:val="00A571F7"/>
    <w:rsid w:val="00A5794B"/>
    <w:rsid w:val="00A61FF8"/>
    <w:rsid w:val="00A624A2"/>
    <w:rsid w:val="00A62807"/>
    <w:rsid w:val="00A633FF"/>
    <w:rsid w:val="00A63A6B"/>
    <w:rsid w:val="00A63DD3"/>
    <w:rsid w:val="00A63FF7"/>
    <w:rsid w:val="00A64654"/>
    <w:rsid w:val="00A64C0C"/>
    <w:rsid w:val="00A64EA9"/>
    <w:rsid w:val="00A64F37"/>
    <w:rsid w:val="00A6503C"/>
    <w:rsid w:val="00A65791"/>
    <w:rsid w:val="00A65A56"/>
    <w:rsid w:val="00A66510"/>
    <w:rsid w:val="00A670E0"/>
    <w:rsid w:val="00A67213"/>
    <w:rsid w:val="00A67F2C"/>
    <w:rsid w:val="00A708B1"/>
    <w:rsid w:val="00A70F85"/>
    <w:rsid w:val="00A7126E"/>
    <w:rsid w:val="00A71CC6"/>
    <w:rsid w:val="00A72232"/>
    <w:rsid w:val="00A72555"/>
    <w:rsid w:val="00A72AF6"/>
    <w:rsid w:val="00A73210"/>
    <w:rsid w:val="00A736DC"/>
    <w:rsid w:val="00A73A6B"/>
    <w:rsid w:val="00A73D78"/>
    <w:rsid w:val="00A7467F"/>
    <w:rsid w:val="00A74725"/>
    <w:rsid w:val="00A7559E"/>
    <w:rsid w:val="00A75755"/>
    <w:rsid w:val="00A77135"/>
    <w:rsid w:val="00A77A71"/>
    <w:rsid w:val="00A77F0E"/>
    <w:rsid w:val="00A80027"/>
    <w:rsid w:val="00A8094E"/>
    <w:rsid w:val="00A813F6"/>
    <w:rsid w:val="00A818A6"/>
    <w:rsid w:val="00A81C69"/>
    <w:rsid w:val="00A8257E"/>
    <w:rsid w:val="00A82FEB"/>
    <w:rsid w:val="00A834AA"/>
    <w:rsid w:val="00A83DEB"/>
    <w:rsid w:val="00A8407A"/>
    <w:rsid w:val="00A841CB"/>
    <w:rsid w:val="00A845FC"/>
    <w:rsid w:val="00A84C3E"/>
    <w:rsid w:val="00A852AB"/>
    <w:rsid w:val="00A8541F"/>
    <w:rsid w:val="00A85F1E"/>
    <w:rsid w:val="00A85F31"/>
    <w:rsid w:val="00A860AD"/>
    <w:rsid w:val="00A86685"/>
    <w:rsid w:val="00A867B2"/>
    <w:rsid w:val="00A86FE6"/>
    <w:rsid w:val="00A872A8"/>
    <w:rsid w:val="00A87740"/>
    <w:rsid w:val="00A901E5"/>
    <w:rsid w:val="00A904D1"/>
    <w:rsid w:val="00A90A6D"/>
    <w:rsid w:val="00A9116E"/>
    <w:rsid w:val="00A914B9"/>
    <w:rsid w:val="00A917C7"/>
    <w:rsid w:val="00A9228E"/>
    <w:rsid w:val="00A92D39"/>
    <w:rsid w:val="00A92E78"/>
    <w:rsid w:val="00A93071"/>
    <w:rsid w:val="00A930AA"/>
    <w:rsid w:val="00A9312D"/>
    <w:rsid w:val="00A934C6"/>
    <w:rsid w:val="00A94328"/>
    <w:rsid w:val="00A94966"/>
    <w:rsid w:val="00A952D3"/>
    <w:rsid w:val="00A95E23"/>
    <w:rsid w:val="00A9627D"/>
    <w:rsid w:val="00A96513"/>
    <w:rsid w:val="00A96BDB"/>
    <w:rsid w:val="00A96BF8"/>
    <w:rsid w:val="00A96C00"/>
    <w:rsid w:val="00A96C80"/>
    <w:rsid w:val="00A977C9"/>
    <w:rsid w:val="00A97807"/>
    <w:rsid w:val="00A97C53"/>
    <w:rsid w:val="00A97DA6"/>
    <w:rsid w:val="00AA0286"/>
    <w:rsid w:val="00AA05B6"/>
    <w:rsid w:val="00AA06FB"/>
    <w:rsid w:val="00AA0872"/>
    <w:rsid w:val="00AA0919"/>
    <w:rsid w:val="00AA1DA6"/>
    <w:rsid w:val="00AA2DC2"/>
    <w:rsid w:val="00AA35D7"/>
    <w:rsid w:val="00AA39DE"/>
    <w:rsid w:val="00AA3E31"/>
    <w:rsid w:val="00AA4C29"/>
    <w:rsid w:val="00AA592D"/>
    <w:rsid w:val="00AA5D66"/>
    <w:rsid w:val="00AA662F"/>
    <w:rsid w:val="00AA6738"/>
    <w:rsid w:val="00AA6764"/>
    <w:rsid w:val="00AA7340"/>
    <w:rsid w:val="00AA7AD3"/>
    <w:rsid w:val="00AB030E"/>
    <w:rsid w:val="00AB05A3"/>
    <w:rsid w:val="00AB0695"/>
    <w:rsid w:val="00AB35BF"/>
    <w:rsid w:val="00AB432B"/>
    <w:rsid w:val="00AB55F0"/>
    <w:rsid w:val="00AB5867"/>
    <w:rsid w:val="00AB6152"/>
    <w:rsid w:val="00AB683E"/>
    <w:rsid w:val="00AB732B"/>
    <w:rsid w:val="00AC04A8"/>
    <w:rsid w:val="00AC0540"/>
    <w:rsid w:val="00AC0BC3"/>
    <w:rsid w:val="00AC203B"/>
    <w:rsid w:val="00AC23DE"/>
    <w:rsid w:val="00AC395B"/>
    <w:rsid w:val="00AC3FA7"/>
    <w:rsid w:val="00AC478B"/>
    <w:rsid w:val="00AC4906"/>
    <w:rsid w:val="00AC4BF1"/>
    <w:rsid w:val="00AC5515"/>
    <w:rsid w:val="00AC5890"/>
    <w:rsid w:val="00AC6180"/>
    <w:rsid w:val="00AC632C"/>
    <w:rsid w:val="00AC6B0F"/>
    <w:rsid w:val="00AC6D61"/>
    <w:rsid w:val="00AC766E"/>
    <w:rsid w:val="00AC7AA8"/>
    <w:rsid w:val="00AC7E92"/>
    <w:rsid w:val="00AD0F34"/>
    <w:rsid w:val="00AD2D9D"/>
    <w:rsid w:val="00AD325C"/>
    <w:rsid w:val="00AD3758"/>
    <w:rsid w:val="00AD3E2B"/>
    <w:rsid w:val="00AD44F2"/>
    <w:rsid w:val="00AD5127"/>
    <w:rsid w:val="00AD529F"/>
    <w:rsid w:val="00AD53FE"/>
    <w:rsid w:val="00AD59BA"/>
    <w:rsid w:val="00AD59CA"/>
    <w:rsid w:val="00AD5C80"/>
    <w:rsid w:val="00AD5E2C"/>
    <w:rsid w:val="00AD788A"/>
    <w:rsid w:val="00AD7E6C"/>
    <w:rsid w:val="00AD7FF6"/>
    <w:rsid w:val="00AE0C41"/>
    <w:rsid w:val="00AE1CE6"/>
    <w:rsid w:val="00AE3142"/>
    <w:rsid w:val="00AE3A8B"/>
    <w:rsid w:val="00AE5F91"/>
    <w:rsid w:val="00AE61B4"/>
    <w:rsid w:val="00AE65D3"/>
    <w:rsid w:val="00AE662F"/>
    <w:rsid w:val="00AE717A"/>
    <w:rsid w:val="00AE736B"/>
    <w:rsid w:val="00AE77B0"/>
    <w:rsid w:val="00AF0838"/>
    <w:rsid w:val="00AF0C09"/>
    <w:rsid w:val="00AF232C"/>
    <w:rsid w:val="00AF2CBB"/>
    <w:rsid w:val="00AF2CCD"/>
    <w:rsid w:val="00AF2FC8"/>
    <w:rsid w:val="00AF304A"/>
    <w:rsid w:val="00AF307E"/>
    <w:rsid w:val="00AF3330"/>
    <w:rsid w:val="00AF334C"/>
    <w:rsid w:val="00AF3F55"/>
    <w:rsid w:val="00AF41F6"/>
    <w:rsid w:val="00AF4BFA"/>
    <w:rsid w:val="00AF5804"/>
    <w:rsid w:val="00AF5F08"/>
    <w:rsid w:val="00AF69B7"/>
    <w:rsid w:val="00AF720A"/>
    <w:rsid w:val="00B0018C"/>
    <w:rsid w:val="00B0104C"/>
    <w:rsid w:val="00B01614"/>
    <w:rsid w:val="00B02544"/>
    <w:rsid w:val="00B04357"/>
    <w:rsid w:val="00B04D72"/>
    <w:rsid w:val="00B04E6B"/>
    <w:rsid w:val="00B05165"/>
    <w:rsid w:val="00B0574F"/>
    <w:rsid w:val="00B060FF"/>
    <w:rsid w:val="00B06295"/>
    <w:rsid w:val="00B066E0"/>
    <w:rsid w:val="00B06A8D"/>
    <w:rsid w:val="00B06AFC"/>
    <w:rsid w:val="00B06BD9"/>
    <w:rsid w:val="00B07532"/>
    <w:rsid w:val="00B076E1"/>
    <w:rsid w:val="00B07D55"/>
    <w:rsid w:val="00B10616"/>
    <w:rsid w:val="00B1077D"/>
    <w:rsid w:val="00B1159A"/>
    <w:rsid w:val="00B1195B"/>
    <w:rsid w:val="00B11C53"/>
    <w:rsid w:val="00B128FA"/>
    <w:rsid w:val="00B12A9B"/>
    <w:rsid w:val="00B12D2F"/>
    <w:rsid w:val="00B13076"/>
    <w:rsid w:val="00B130FD"/>
    <w:rsid w:val="00B134D3"/>
    <w:rsid w:val="00B14197"/>
    <w:rsid w:val="00B1467A"/>
    <w:rsid w:val="00B1496A"/>
    <w:rsid w:val="00B14B37"/>
    <w:rsid w:val="00B14CE7"/>
    <w:rsid w:val="00B14DF4"/>
    <w:rsid w:val="00B169BF"/>
    <w:rsid w:val="00B16D81"/>
    <w:rsid w:val="00B1754D"/>
    <w:rsid w:val="00B17684"/>
    <w:rsid w:val="00B1769F"/>
    <w:rsid w:val="00B17EB4"/>
    <w:rsid w:val="00B17FD0"/>
    <w:rsid w:val="00B201A9"/>
    <w:rsid w:val="00B2076C"/>
    <w:rsid w:val="00B20BCF"/>
    <w:rsid w:val="00B20DDF"/>
    <w:rsid w:val="00B20F52"/>
    <w:rsid w:val="00B2154C"/>
    <w:rsid w:val="00B21CD6"/>
    <w:rsid w:val="00B21D40"/>
    <w:rsid w:val="00B22043"/>
    <w:rsid w:val="00B2287E"/>
    <w:rsid w:val="00B22CA7"/>
    <w:rsid w:val="00B22E74"/>
    <w:rsid w:val="00B22F2E"/>
    <w:rsid w:val="00B240CA"/>
    <w:rsid w:val="00B241BC"/>
    <w:rsid w:val="00B24596"/>
    <w:rsid w:val="00B24EE9"/>
    <w:rsid w:val="00B250D2"/>
    <w:rsid w:val="00B254CE"/>
    <w:rsid w:val="00B25BE6"/>
    <w:rsid w:val="00B26514"/>
    <w:rsid w:val="00B26655"/>
    <w:rsid w:val="00B2694C"/>
    <w:rsid w:val="00B26A65"/>
    <w:rsid w:val="00B26DDE"/>
    <w:rsid w:val="00B27F53"/>
    <w:rsid w:val="00B30048"/>
    <w:rsid w:val="00B30427"/>
    <w:rsid w:val="00B3074E"/>
    <w:rsid w:val="00B30799"/>
    <w:rsid w:val="00B30A77"/>
    <w:rsid w:val="00B318B7"/>
    <w:rsid w:val="00B32BE7"/>
    <w:rsid w:val="00B32D9C"/>
    <w:rsid w:val="00B354D0"/>
    <w:rsid w:val="00B35589"/>
    <w:rsid w:val="00B358CF"/>
    <w:rsid w:val="00B359B0"/>
    <w:rsid w:val="00B35EEC"/>
    <w:rsid w:val="00B36885"/>
    <w:rsid w:val="00B36901"/>
    <w:rsid w:val="00B3706C"/>
    <w:rsid w:val="00B37828"/>
    <w:rsid w:val="00B40428"/>
    <w:rsid w:val="00B4075E"/>
    <w:rsid w:val="00B421EF"/>
    <w:rsid w:val="00B4228B"/>
    <w:rsid w:val="00B429FC"/>
    <w:rsid w:val="00B43092"/>
    <w:rsid w:val="00B43578"/>
    <w:rsid w:val="00B438FB"/>
    <w:rsid w:val="00B4397F"/>
    <w:rsid w:val="00B44951"/>
    <w:rsid w:val="00B4643D"/>
    <w:rsid w:val="00B468F4"/>
    <w:rsid w:val="00B4709A"/>
    <w:rsid w:val="00B47157"/>
    <w:rsid w:val="00B5033F"/>
    <w:rsid w:val="00B50946"/>
    <w:rsid w:val="00B50F77"/>
    <w:rsid w:val="00B51016"/>
    <w:rsid w:val="00B5107F"/>
    <w:rsid w:val="00B5155B"/>
    <w:rsid w:val="00B51602"/>
    <w:rsid w:val="00B51F92"/>
    <w:rsid w:val="00B52A52"/>
    <w:rsid w:val="00B52A80"/>
    <w:rsid w:val="00B52B2B"/>
    <w:rsid w:val="00B52BBB"/>
    <w:rsid w:val="00B52BF5"/>
    <w:rsid w:val="00B52D44"/>
    <w:rsid w:val="00B52DBE"/>
    <w:rsid w:val="00B53261"/>
    <w:rsid w:val="00B53B27"/>
    <w:rsid w:val="00B54513"/>
    <w:rsid w:val="00B54E62"/>
    <w:rsid w:val="00B5507C"/>
    <w:rsid w:val="00B557CE"/>
    <w:rsid w:val="00B55A2F"/>
    <w:rsid w:val="00B5670D"/>
    <w:rsid w:val="00B56986"/>
    <w:rsid w:val="00B56B49"/>
    <w:rsid w:val="00B571D6"/>
    <w:rsid w:val="00B57945"/>
    <w:rsid w:val="00B6136F"/>
    <w:rsid w:val="00B618D9"/>
    <w:rsid w:val="00B61A0F"/>
    <w:rsid w:val="00B62694"/>
    <w:rsid w:val="00B6304A"/>
    <w:rsid w:val="00B63412"/>
    <w:rsid w:val="00B63B02"/>
    <w:rsid w:val="00B64038"/>
    <w:rsid w:val="00B64214"/>
    <w:rsid w:val="00B642E9"/>
    <w:rsid w:val="00B64C6C"/>
    <w:rsid w:val="00B65323"/>
    <w:rsid w:val="00B65782"/>
    <w:rsid w:val="00B65C55"/>
    <w:rsid w:val="00B6635C"/>
    <w:rsid w:val="00B67070"/>
    <w:rsid w:val="00B67143"/>
    <w:rsid w:val="00B675C4"/>
    <w:rsid w:val="00B6789B"/>
    <w:rsid w:val="00B67B8E"/>
    <w:rsid w:val="00B70138"/>
    <w:rsid w:val="00B70CEE"/>
    <w:rsid w:val="00B70E94"/>
    <w:rsid w:val="00B70F2B"/>
    <w:rsid w:val="00B72070"/>
    <w:rsid w:val="00B73C0C"/>
    <w:rsid w:val="00B74135"/>
    <w:rsid w:val="00B7423D"/>
    <w:rsid w:val="00B74319"/>
    <w:rsid w:val="00B75D96"/>
    <w:rsid w:val="00B76478"/>
    <w:rsid w:val="00B76938"/>
    <w:rsid w:val="00B7781A"/>
    <w:rsid w:val="00B80467"/>
    <w:rsid w:val="00B8055D"/>
    <w:rsid w:val="00B8099D"/>
    <w:rsid w:val="00B81E34"/>
    <w:rsid w:val="00B82172"/>
    <w:rsid w:val="00B83171"/>
    <w:rsid w:val="00B8322F"/>
    <w:rsid w:val="00B835CD"/>
    <w:rsid w:val="00B83765"/>
    <w:rsid w:val="00B84111"/>
    <w:rsid w:val="00B84926"/>
    <w:rsid w:val="00B849D6"/>
    <w:rsid w:val="00B84D99"/>
    <w:rsid w:val="00B851A9"/>
    <w:rsid w:val="00B86900"/>
    <w:rsid w:val="00B87116"/>
    <w:rsid w:val="00B87368"/>
    <w:rsid w:val="00B901EE"/>
    <w:rsid w:val="00B9088F"/>
    <w:rsid w:val="00B90ADC"/>
    <w:rsid w:val="00B9204E"/>
    <w:rsid w:val="00B92C6A"/>
    <w:rsid w:val="00B936E2"/>
    <w:rsid w:val="00B93E18"/>
    <w:rsid w:val="00B94AFB"/>
    <w:rsid w:val="00B94BD2"/>
    <w:rsid w:val="00B94DE7"/>
    <w:rsid w:val="00B9509E"/>
    <w:rsid w:val="00B957B5"/>
    <w:rsid w:val="00B9594A"/>
    <w:rsid w:val="00B95E6E"/>
    <w:rsid w:val="00B96699"/>
    <w:rsid w:val="00B96842"/>
    <w:rsid w:val="00B974C1"/>
    <w:rsid w:val="00B97592"/>
    <w:rsid w:val="00B97EB3"/>
    <w:rsid w:val="00BA14DA"/>
    <w:rsid w:val="00BA1951"/>
    <w:rsid w:val="00BA1DE8"/>
    <w:rsid w:val="00BA2424"/>
    <w:rsid w:val="00BA2886"/>
    <w:rsid w:val="00BA2BC1"/>
    <w:rsid w:val="00BA2D5C"/>
    <w:rsid w:val="00BA2F4E"/>
    <w:rsid w:val="00BA339B"/>
    <w:rsid w:val="00BA35FF"/>
    <w:rsid w:val="00BA4953"/>
    <w:rsid w:val="00BA4BE0"/>
    <w:rsid w:val="00BA4C82"/>
    <w:rsid w:val="00BA5ADD"/>
    <w:rsid w:val="00BA66A7"/>
    <w:rsid w:val="00BA6B1A"/>
    <w:rsid w:val="00BA7601"/>
    <w:rsid w:val="00BA7EDE"/>
    <w:rsid w:val="00BB01F7"/>
    <w:rsid w:val="00BB0BEC"/>
    <w:rsid w:val="00BB0EC4"/>
    <w:rsid w:val="00BB1272"/>
    <w:rsid w:val="00BB1FD2"/>
    <w:rsid w:val="00BB2C7E"/>
    <w:rsid w:val="00BB47E7"/>
    <w:rsid w:val="00BB4EFB"/>
    <w:rsid w:val="00BB565E"/>
    <w:rsid w:val="00BB5BC0"/>
    <w:rsid w:val="00BB5C69"/>
    <w:rsid w:val="00BB5D37"/>
    <w:rsid w:val="00BB69E6"/>
    <w:rsid w:val="00BB6E08"/>
    <w:rsid w:val="00BB7E83"/>
    <w:rsid w:val="00BC01EC"/>
    <w:rsid w:val="00BC054B"/>
    <w:rsid w:val="00BC11AF"/>
    <w:rsid w:val="00BC22EE"/>
    <w:rsid w:val="00BC25ED"/>
    <w:rsid w:val="00BC3928"/>
    <w:rsid w:val="00BC399F"/>
    <w:rsid w:val="00BC3AB5"/>
    <w:rsid w:val="00BC3E66"/>
    <w:rsid w:val="00BC3FA4"/>
    <w:rsid w:val="00BC467A"/>
    <w:rsid w:val="00BC4C9C"/>
    <w:rsid w:val="00BC5267"/>
    <w:rsid w:val="00BC5A0D"/>
    <w:rsid w:val="00BC6483"/>
    <w:rsid w:val="00BC6663"/>
    <w:rsid w:val="00BC68AB"/>
    <w:rsid w:val="00BC718A"/>
    <w:rsid w:val="00BC73FC"/>
    <w:rsid w:val="00BC782D"/>
    <w:rsid w:val="00BD0289"/>
    <w:rsid w:val="00BD02FA"/>
    <w:rsid w:val="00BD0E15"/>
    <w:rsid w:val="00BD0F3A"/>
    <w:rsid w:val="00BD1005"/>
    <w:rsid w:val="00BD10DA"/>
    <w:rsid w:val="00BD19E5"/>
    <w:rsid w:val="00BD1A80"/>
    <w:rsid w:val="00BD26F8"/>
    <w:rsid w:val="00BD2706"/>
    <w:rsid w:val="00BD4D0E"/>
    <w:rsid w:val="00BD5EFC"/>
    <w:rsid w:val="00BD636C"/>
    <w:rsid w:val="00BD6D03"/>
    <w:rsid w:val="00BE01AE"/>
    <w:rsid w:val="00BE097E"/>
    <w:rsid w:val="00BE1AAD"/>
    <w:rsid w:val="00BE1DA4"/>
    <w:rsid w:val="00BE1E3B"/>
    <w:rsid w:val="00BE2EC3"/>
    <w:rsid w:val="00BE3271"/>
    <w:rsid w:val="00BE4068"/>
    <w:rsid w:val="00BE44AA"/>
    <w:rsid w:val="00BE5893"/>
    <w:rsid w:val="00BE61B4"/>
    <w:rsid w:val="00BE6CBA"/>
    <w:rsid w:val="00BF0283"/>
    <w:rsid w:val="00BF0BD4"/>
    <w:rsid w:val="00BF2075"/>
    <w:rsid w:val="00BF20D2"/>
    <w:rsid w:val="00BF365E"/>
    <w:rsid w:val="00BF4019"/>
    <w:rsid w:val="00BF44E0"/>
    <w:rsid w:val="00BF55D1"/>
    <w:rsid w:val="00BF6368"/>
    <w:rsid w:val="00BF6878"/>
    <w:rsid w:val="00BF7475"/>
    <w:rsid w:val="00BF7D43"/>
    <w:rsid w:val="00C00269"/>
    <w:rsid w:val="00C004CE"/>
    <w:rsid w:val="00C00625"/>
    <w:rsid w:val="00C00989"/>
    <w:rsid w:val="00C01140"/>
    <w:rsid w:val="00C02970"/>
    <w:rsid w:val="00C030D5"/>
    <w:rsid w:val="00C032FD"/>
    <w:rsid w:val="00C037A3"/>
    <w:rsid w:val="00C03A1A"/>
    <w:rsid w:val="00C03AB4"/>
    <w:rsid w:val="00C042DC"/>
    <w:rsid w:val="00C0430F"/>
    <w:rsid w:val="00C04B78"/>
    <w:rsid w:val="00C04E8D"/>
    <w:rsid w:val="00C04EB3"/>
    <w:rsid w:val="00C05682"/>
    <w:rsid w:val="00C06449"/>
    <w:rsid w:val="00C06469"/>
    <w:rsid w:val="00C066AC"/>
    <w:rsid w:val="00C069F9"/>
    <w:rsid w:val="00C07A39"/>
    <w:rsid w:val="00C07ECD"/>
    <w:rsid w:val="00C07F22"/>
    <w:rsid w:val="00C10485"/>
    <w:rsid w:val="00C10CB1"/>
    <w:rsid w:val="00C10D1A"/>
    <w:rsid w:val="00C10D57"/>
    <w:rsid w:val="00C10E00"/>
    <w:rsid w:val="00C11C33"/>
    <w:rsid w:val="00C11C8E"/>
    <w:rsid w:val="00C11CF8"/>
    <w:rsid w:val="00C13C01"/>
    <w:rsid w:val="00C13E32"/>
    <w:rsid w:val="00C14C0F"/>
    <w:rsid w:val="00C16532"/>
    <w:rsid w:val="00C16E8C"/>
    <w:rsid w:val="00C17796"/>
    <w:rsid w:val="00C17D2A"/>
    <w:rsid w:val="00C2064F"/>
    <w:rsid w:val="00C20D97"/>
    <w:rsid w:val="00C220F4"/>
    <w:rsid w:val="00C22D16"/>
    <w:rsid w:val="00C23325"/>
    <w:rsid w:val="00C23C7C"/>
    <w:rsid w:val="00C23D5F"/>
    <w:rsid w:val="00C23E9C"/>
    <w:rsid w:val="00C2410F"/>
    <w:rsid w:val="00C242B5"/>
    <w:rsid w:val="00C24848"/>
    <w:rsid w:val="00C24FF4"/>
    <w:rsid w:val="00C2517E"/>
    <w:rsid w:val="00C262FB"/>
    <w:rsid w:val="00C2633C"/>
    <w:rsid w:val="00C2718F"/>
    <w:rsid w:val="00C27B9D"/>
    <w:rsid w:val="00C27FC7"/>
    <w:rsid w:val="00C30027"/>
    <w:rsid w:val="00C30B0D"/>
    <w:rsid w:val="00C30BF7"/>
    <w:rsid w:val="00C310CA"/>
    <w:rsid w:val="00C31513"/>
    <w:rsid w:val="00C31FA5"/>
    <w:rsid w:val="00C32117"/>
    <w:rsid w:val="00C321B9"/>
    <w:rsid w:val="00C324A6"/>
    <w:rsid w:val="00C333E9"/>
    <w:rsid w:val="00C34108"/>
    <w:rsid w:val="00C3442A"/>
    <w:rsid w:val="00C34622"/>
    <w:rsid w:val="00C34CA9"/>
    <w:rsid w:val="00C356C5"/>
    <w:rsid w:val="00C35823"/>
    <w:rsid w:val="00C36066"/>
    <w:rsid w:val="00C364CB"/>
    <w:rsid w:val="00C36C9C"/>
    <w:rsid w:val="00C36CF2"/>
    <w:rsid w:val="00C37327"/>
    <w:rsid w:val="00C374C4"/>
    <w:rsid w:val="00C3787E"/>
    <w:rsid w:val="00C40229"/>
    <w:rsid w:val="00C403C4"/>
    <w:rsid w:val="00C40720"/>
    <w:rsid w:val="00C412F3"/>
    <w:rsid w:val="00C4253A"/>
    <w:rsid w:val="00C42ED6"/>
    <w:rsid w:val="00C437C6"/>
    <w:rsid w:val="00C44BE3"/>
    <w:rsid w:val="00C45DDA"/>
    <w:rsid w:val="00C45F44"/>
    <w:rsid w:val="00C464F3"/>
    <w:rsid w:val="00C46609"/>
    <w:rsid w:val="00C4711F"/>
    <w:rsid w:val="00C47272"/>
    <w:rsid w:val="00C4771D"/>
    <w:rsid w:val="00C477BE"/>
    <w:rsid w:val="00C47E6D"/>
    <w:rsid w:val="00C50111"/>
    <w:rsid w:val="00C50415"/>
    <w:rsid w:val="00C504C7"/>
    <w:rsid w:val="00C5067B"/>
    <w:rsid w:val="00C5085C"/>
    <w:rsid w:val="00C5094F"/>
    <w:rsid w:val="00C50A6B"/>
    <w:rsid w:val="00C50C9E"/>
    <w:rsid w:val="00C513C2"/>
    <w:rsid w:val="00C51787"/>
    <w:rsid w:val="00C51B4E"/>
    <w:rsid w:val="00C51BF8"/>
    <w:rsid w:val="00C5234E"/>
    <w:rsid w:val="00C5373B"/>
    <w:rsid w:val="00C550E2"/>
    <w:rsid w:val="00C559B4"/>
    <w:rsid w:val="00C55A89"/>
    <w:rsid w:val="00C55D8F"/>
    <w:rsid w:val="00C56BE4"/>
    <w:rsid w:val="00C56D67"/>
    <w:rsid w:val="00C56F58"/>
    <w:rsid w:val="00C5756E"/>
    <w:rsid w:val="00C61A66"/>
    <w:rsid w:val="00C61AC2"/>
    <w:rsid w:val="00C61C01"/>
    <w:rsid w:val="00C61F16"/>
    <w:rsid w:val="00C62065"/>
    <w:rsid w:val="00C62769"/>
    <w:rsid w:val="00C62AA4"/>
    <w:rsid w:val="00C6347B"/>
    <w:rsid w:val="00C6361D"/>
    <w:rsid w:val="00C63B9C"/>
    <w:rsid w:val="00C63CCF"/>
    <w:rsid w:val="00C63E3C"/>
    <w:rsid w:val="00C6440E"/>
    <w:rsid w:val="00C64509"/>
    <w:rsid w:val="00C6494D"/>
    <w:rsid w:val="00C64B7C"/>
    <w:rsid w:val="00C65580"/>
    <w:rsid w:val="00C66285"/>
    <w:rsid w:val="00C66A9E"/>
    <w:rsid w:val="00C677D2"/>
    <w:rsid w:val="00C67A05"/>
    <w:rsid w:val="00C67D7F"/>
    <w:rsid w:val="00C70286"/>
    <w:rsid w:val="00C70FF3"/>
    <w:rsid w:val="00C7140D"/>
    <w:rsid w:val="00C720BA"/>
    <w:rsid w:val="00C724AB"/>
    <w:rsid w:val="00C72610"/>
    <w:rsid w:val="00C72A42"/>
    <w:rsid w:val="00C739FD"/>
    <w:rsid w:val="00C74188"/>
    <w:rsid w:val="00C751C1"/>
    <w:rsid w:val="00C75790"/>
    <w:rsid w:val="00C75CB6"/>
    <w:rsid w:val="00C770BE"/>
    <w:rsid w:val="00C77142"/>
    <w:rsid w:val="00C800F7"/>
    <w:rsid w:val="00C80ABC"/>
    <w:rsid w:val="00C80CB8"/>
    <w:rsid w:val="00C8127C"/>
    <w:rsid w:val="00C8140B"/>
    <w:rsid w:val="00C8156B"/>
    <w:rsid w:val="00C81943"/>
    <w:rsid w:val="00C81C0A"/>
    <w:rsid w:val="00C81C21"/>
    <w:rsid w:val="00C824D8"/>
    <w:rsid w:val="00C82575"/>
    <w:rsid w:val="00C82D4B"/>
    <w:rsid w:val="00C83196"/>
    <w:rsid w:val="00C839BF"/>
    <w:rsid w:val="00C840B7"/>
    <w:rsid w:val="00C85428"/>
    <w:rsid w:val="00C8590E"/>
    <w:rsid w:val="00C865E0"/>
    <w:rsid w:val="00C86986"/>
    <w:rsid w:val="00C87712"/>
    <w:rsid w:val="00C87D9B"/>
    <w:rsid w:val="00C87ED0"/>
    <w:rsid w:val="00C90051"/>
    <w:rsid w:val="00C90091"/>
    <w:rsid w:val="00C906F8"/>
    <w:rsid w:val="00C90A64"/>
    <w:rsid w:val="00C90B2C"/>
    <w:rsid w:val="00C91548"/>
    <w:rsid w:val="00C920F3"/>
    <w:rsid w:val="00C92663"/>
    <w:rsid w:val="00C92D68"/>
    <w:rsid w:val="00C92EAF"/>
    <w:rsid w:val="00C92FD2"/>
    <w:rsid w:val="00C93E35"/>
    <w:rsid w:val="00C942FB"/>
    <w:rsid w:val="00C94645"/>
    <w:rsid w:val="00C946BE"/>
    <w:rsid w:val="00CA1D29"/>
    <w:rsid w:val="00CA1E9B"/>
    <w:rsid w:val="00CA25AE"/>
    <w:rsid w:val="00CA263B"/>
    <w:rsid w:val="00CA29D1"/>
    <w:rsid w:val="00CA2AFF"/>
    <w:rsid w:val="00CA306B"/>
    <w:rsid w:val="00CA4CE7"/>
    <w:rsid w:val="00CA536C"/>
    <w:rsid w:val="00CA5A0C"/>
    <w:rsid w:val="00CA5B4A"/>
    <w:rsid w:val="00CA5BDB"/>
    <w:rsid w:val="00CA5E64"/>
    <w:rsid w:val="00CA686A"/>
    <w:rsid w:val="00CA71B1"/>
    <w:rsid w:val="00CA7940"/>
    <w:rsid w:val="00CB03E4"/>
    <w:rsid w:val="00CB17DF"/>
    <w:rsid w:val="00CB23DE"/>
    <w:rsid w:val="00CB3157"/>
    <w:rsid w:val="00CB3A9D"/>
    <w:rsid w:val="00CB413F"/>
    <w:rsid w:val="00CB45EE"/>
    <w:rsid w:val="00CB4846"/>
    <w:rsid w:val="00CB5585"/>
    <w:rsid w:val="00CB5601"/>
    <w:rsid w:val="00CB5C80"/>
    <w:rsid w:val="00CB62B1"/>
    <w:rsid w:val="00CB63FF"/>
    <w:rsid w:val="00CB6428"/>
    <w:rsid w:val="00CB648F"/>
    <w:rsid w:val="00CB67CA"/>
    <w:rsid w:val="00CC0156"/>
    <w:rsid w:val="00CC0EE4"/>
    <w:rsid w:val="00CC0FCB"/>
    <w:rsid w:val="00CC1063"/>
    <w:rsid w:val="00CC275C"/>
    <w:rsid w:val="00CC30AD"/>
    <w:rsid w:val="00CC30B3"/>
    <w:rsid w:val="00CC35A2"/>
    <w:rsid w:val="00CC3A9B"/>
    <w:rsid w:val="00CC410A"/>
    <w:rsid w:val="00CC48D3"/>
    <w:rsid w:val="00CC4CFF"/>
    <w:rsid w:val="00CC4E70"/>
    <w:rsid w:val="00CC59B0"/>
    <w:rsid w:val="00CC5CB1"/>
    <w:rsid w:val="00CC6673"/>
    <w:rsid w:val="00CC687A"/>
    <w:rsid w:val="00CC6D6A"/>
    <w:rsid w:val="00CC721C"/>
    <w:rsid w:val="00CC75D5"/>
    <w:rsid w:val="00CC7E17"/>
    <w:rsid w:val="00CC7F4D"/>
    <w:rsid w:val="00CD0428"/>
    <w:rsid w:val="00CD1E46"/>
    <w:rsid w:val="00CD2BD7"/>
    <w:rsid w:val="00CD2D9C"/>
    <w:rsid w:val="00CD313D"/>
    <w:rsid w:val="00CD3331"/>
    <w:rsid w:val="00CD44C5"/>
    <w:rsid w:val="00CD5572"/>
    <w:rsid w:val="00CD5C50"/>
    <w:rsid w:val="00CD5DCA"/>
    <w:rsid w:val="00CD623F"/>
    <w:rsid w:val="00CD7307"/>
    <w:rsid w:val="00CD784F"/>
    <w:rsid w:val="00CD7857"/>
    <w:rsid w:val="00CD7BD0"/>
    <w:rsid w:val="00CD7CAE"/>
    <w:rsid w:val="00CD7EDE"/>
    <w:rsid w:val="00CE0452"/>
    <w:rsid w:val="00CE04E6"/>
    <w:rsid w:val="00CE13AC"/>
    <w:rsid w:val="00CE19DC"/>
    <w:rsid w:val="00CE24A1"/>
    <w:rsid w:val="00CE2595"/>
    <w:rsid w:val="00CE2724"/>
    <w:rsid w:val="00CE2910"/>
    <w:rsid w:val="00CE3029"/>
    <w:rsid w:val="00CE3B54"/>
    <w:rsid w:val="00CE3E8A"/>
    <w:rsid w:val="00CE69C4"/>
    <w:rsid w:val="00CE74D3"/>
    <w:rsid w:val="00CE75D0"/>
    <w:rsid w:val="00CF01D2"/>
    <w:rsid w:val="00CF0478"/>
    <w:rsid w:val="00CF06C8"/>
    <w:rsid w:val="00CF1C1D"/>
    <w:rsid w:val="00CF27B8"/>
    <w:rsid w:val="00CF4220"/>
    <w:rsid w:val="00CF466E"/>
    <w:rsid w:val="00CF53AC"/>
    <w:rsid w:val="00CF5B40"/>
    <w:rsid w:val="00CF662D"/>
    <w:rsid w:val="00CF6CB7"/>
    <w:rsid w:val="00CF6ED3"/>
    <w:rsid w:val="00CF7310"/>
    <w:rsid w:val="00CF7355"/>
    <w:rsid w:val="00CF73E0"/>
    <w:rsid w:val="00CF78B9"/>
    <w:rsid w:val="00D00224"/>
    <w:rsid w:val="00D00458"/>
    <w:rsid w:val="00D01079"/>
    <w:rsid w:val="00D018D2"/>
    <w:rsid w:val="00D01EFD"/>
    <w:rsid w:val="00D02384"/>
    <w:rsid w:val="00D02547"/>
    <w:rsid w:val="00D02D05"/>
    <w:rsid w:val="00D02E69"/>
    <w:rsid w:val="00D02F15"/>
    <w:rsid w:val="00D039E7"/>
    <w:rsid w:val="00D03D43"/>
    <w:rsid w:val="00D040F2"/>
    <w:rsid w:val="00D0539D"/>
    <w:rsid w:val="00D05766"/>
    <w:rsid w:val="00D068C7"/>
    <w:rsid w:val="00D069E3"/>
    <w:rsid w:val="00D06CCB"/>
    <w:rsid w:val="00D073DF"/>
    <w:rsid w:val="00D078B2"/>
    <w:rsid w:val="00D07EB0"/>
    <w:rsid w:val="00D10968"/>
    <w:rsid w:val="00D10F81"/>
    <w:rsid w:val="00D110BB"/>
    <w:rsid w:val="00D113B6"/>
    <w:rsid w:val="00D11A1A"/>
    <w:rsid w:val="00D12C4B"/>
    <w:rsid w:val="00D135CF"/>
    <w:rsid w:val="00D138B1"/>
    <w:rsid w:val="00D139B6"/>
    <w:rsid w:val="00D13A51"/>
    <w:rsid w:val="00D13D32"/>
    <w:rsid w:val="00D140D6"/>
    <w:rsid w:val="00D14F6F"/>
    <w:rsid w:val="00D150C7"/>
    <w:rsid w:val="00D15740"/>
    <w:rsid w:val="00D15C37"/>
    <w:rsid w:val="00D15D9C"/>
    <w:rsid w:val="00D16402"/>
    <w:rsid w:val="00D16464"/>
    <w:rsid w:val="00D16901"/>
    <w:rsid w:val="00D16DEE"/>
    <w:rsid w:val="00D16E56"/>
    <w:rsid w:val="00D175ED"/>
    <w:rsid w:val="00D17DB4"/>
    <w:rsid w:val="00D2078F"/>
    <w:rsid w:val="00D20F15"/>
    <w:rsid w:val="00D21034"/>
    <w:rsid w:val="00D21C0D"/>
    <w:rsid w:val="00D22990"/>
    <w:rsid w:val="00D23819"/>
    <w:rsid w:val="00D23E7A"/>
    <w:rsid w:val="00D24466"/>
    <w:rsid w:val="00D24B0F"/>
    <w:rsid w:val="00D24E92"/>
    <w:rsid w:val="00D24F8E"/>
    <w:rsid w:val="00D255A3"/>
    <w:rsid w:val="00D25B8A"/>
    <w:rsid w:val="00D25C8B"/>
    <w:rsid w:val="00D266E6"/>
    <w:rsid w:val="00D267DD"/>
    <w:rsid w:val="00D26BD5"/>
    <w:rsid w:val="00D26F6F"/>
    <w:rsid w:val="00D27CEB"/>
    <w:rsid w:val="00D316E8"/>
    <w:rsid w:val="00D31903"/>
    <w:rsid w:val="00D32212"/>
    <w:rsid w:val="00D32299"/>
    <w:rsid w:val="00D331A9"/>
    <w:rsid w:val="00D335A7"/>
    <w:rsid w:val="00D3379F"/>
    <w:rsid w:val="00D33D86"/>
    <w:rsid w:val="00D353F3"/>
    <w:rsid w:val="00D35486"/>
    <w:rsid w:val="00D35A0F"/>
    <w:rsid w:val="00D35DC4"/>
    <w:rsid w:val="00D35EAE"/>
    <w:rsid w:val="00D36241"/>
    <w:rsid w:val="00D362BD"/>
    <w:rsid w:val="00D3657B"/>
    <w:rsid w:val="00D368EF"/>
    <w:rsid w:val="00D36D4B"/>
    <w:rsid w:val="00D37663"/>
    <w:rsid w:val="00D37964"/>
    <w:rsid w:val="00D37C37"/>
    <w:rsid w:val="00D403D7"/>
    <w:rsid w:val="00D41D50"/>
    <w:rsid w:val="00D4334F"/>
    <w:rsid w:val="00D43A7F"/>
    <w:rsid w:val="00D43C48"/>
    <w:rsid w:val="00D4411C"/>
    <w:rsid w:val="00D443EC"/>
    <w:rsid w:val="00D44F59"/>
    <w:rsid w:val="00D45D7B"/>
    <w:rsid w:val="00D46634"/>
    <w:rsid w:val="00D505E9"/>
    <w:rsid w:val="00D50CA6"/>
    <w:rsid w:val="00D518BA"/>
    <w:rsid w:val="00D52888"/>
    <w:rsid w:val="00D52972"/>
    <w:rsid w:val="00D53638"/>
    <w:rsid w:val="00D536FC"/>
    <w:rsid w:val="00D538B7"/>
    <w:rsid w:val="00D53FA9"/>
    <w:rsid w:val="00D5400C"/>
    <w:rsid w:val="00D54810"/>
    <w:rsid w:val="00D54B88"/>
    <w:rsid w:val="00D54DC0"/>
    <w:rsid w:val="00D54F8C"/>
    <w:rsid w:val="00D5512C"/>
    <w:rsid w:val="00D570D3"/>
    <w:rsid w:val="00D57EF9"/>
    <w:rsid w:val="00D608DB"/>
    <w:rsid w:val="00D60F1C"/>
    <w:rsid w:val="00D615CA"/>
    <w:rsid w:val="00D61BD7"/>
    <w:rsid w:val="00D620E1"/>
    <w:rsid w:val="00D621B4"/>
    <w:rsid w:val="00D63634"/>
    <w:rsid w:val="00D64746"/>
    <w:rsid w:val="00D64A29"/>
    <w:rsid w:val="00D65DC6"/>
    <w:rsid w:val="00D6686E"/>
    <w:rsid w:val="00D66AB9"/>
    <w:rsid w:val="00D67105"/>
    <w:rsid w:val="00D676FA"/>
    <w:rsid w:val="00D67CDE"/>
    <w:rsid w:val="00D71128"/>
    <w:rsid w:val="00D7176C"/>
    <w:rsid w:val="00D74D3C"/>
    <w:rsid w:val="00D75220"/>
    <w:rsid w:val="00D755B0"/>
    <w:rsid w:val="00D756DF"/>
    <w:rsid w:val="00D75D03"/>
    <w:rsid w:val="00D75DFD"/>
    <w:rsid w:val="00D77B6E"/>
    <w:rsid w:val="00D77C95"/>
    <w:rsid w:val="00D80489"/>
    <w:rsid w:val="00D8154E"/>
    <w:rsid w:val="00D81D90"/>
    <w:rsid w:val="00D821F7"/>
    <w:rsid w:val="00D82DFE"/>
    <w:rsid w:val="00D83485"/>
    <w:rsid w:val="00D83FFD"/>
    <w:rsid w:val="00D84480"/>
    <w:rsid w:val="00D85842"/>
    <w:rsid w:val="00D85947"/>
    <w:rsid w:val="00D86034"/>
    <w:rsid w:val="00D866EF"/>
    <w:rsid w:val="00D8788F"/>
    <w:rsid w:val="00D878CB"/>
    <w:rsid w:val="00D87B95"/>
    <w:rsid w:val="00D906BC"/>
    <w:rsid w:val="00D907E5"/>
    <w:rsid w:val="00D90E9E"/>
    <w:rsid w:val="00D90FA8"/>
    <w:rsid w:val="00D9103A"/>
    <w:rsid w:val="00D919C4"/>
    <w:rsid w:val="00D91A98"/>
    <w:rsid w:val="00D9247E"/>
    <w:rsid w:val="00D925D5"/>
    <w:rsid w:val="00D92D4F"/>
    <w:rsid w:val="00D930F6"/>
    <w:rsid w:val="00D9347A"/>
    <w:rsid w:val="00D93977"/>
    <w:rsid w:val="00D9433D"/>
    <w:rsid w:val="00D943B7"/>
    <w:rsid w:val="00D943C2"/>
    <w:rsid w:val="00D94880"/>
    <w:rsid w:val="00D958ED"/>
    <w:rsid w:val="00D95B69"/>
    <w:rsid w:val="00D95EC0"/>
    <w:rsid w:val="00D95FAA"/>
    <w:rsid w:val="00D96504"/>
    <w:rsid w:val="00D97269"/>
    <w:rsid w:val="00D97F92"/>
    <w:rsid w:val="00D97FC9"/>
    <w:rsid w:val="00DA0EE0"/>
    <w:rsid w:val="00DA19B2"/>
    <w:rsid w:val="00DA19EF"/>
    <w:rsid w:val="00DA2737"/>
    <w:rsid w:val="00DA28E3"/>
    <w:rsid w:val="00DA4183"/>
    <w:rsid w:val="00DA5BE3"/>
    <w:rsid w:val="00DA5C14"/>
    <w:rsid w:val="00DA6424"/>
    <w:rsid w:val="00DA6505"/>
    <w:rsid w:val="00DA67A3"/>
    <w:rsid w:val="00DA680B"/>
    <w:rsid w:val="00DA6FEC"/>
    <w:rsid w:val="00DA753F"/>
    <w:rsid w:val="00DA78C2"/>
    <w:rsid w:val="00DA7909"/>
    <w:rsid w:val="00DA7FB5"/>
    <w:rsid w:val="00DB04F2"/>
    <w:rsid w:val="00DB1390"/>
    <w:rsid w:val="00DB1CB7"/>
    <w:rsid w:val="00DB2BDA"/>
    <w:rsid w:val="00DB37EA"/>
    <w:rsid w:val="00DB3AC8"/>
    <w:rsid w:val="00DB3B92"/>
    <w:rsid w:val="00DB4011"/>
    <w:rsid w:val="00DB4514"/>
    <w:rsid w:val="00DB48D6"/>
    <w:rsid w:val="00DB48FE"/>
    <w:rsid w:val="00DB5910"/>
    <w:rsid w:val="00DB5B83"/>
    <w:rsid w:val="00DB5BF8"/>
    <w:rsid w:val="00DB6040"/>
    <w:rsid w:val="00DB63D1"/>
    <w:rsid w:val="00DB66D8"/>
    <w:rsid w:val="00DB6E5E"/>
    <w:rsid w:val="00DB7E92"/>
    <w:rsid w:val="00DB7EBA"/>
    <w:rsid w:val="00DB7F19"/>
    <w:rsid w:val="00DC006E"/>
    <w:rsid w:val="00DC0266"/>
    <w:rsid w:val="00DC1E2A"/>
    <w:rsid w:val="00DC26AF"/>
    <w:rsid w:val="00DC2B55"/>
    <w:rsid w:val="00DC2BB5"/>
    <w:rsid w:val="00DC36BA"/>
    <w:rsid w:val="00DC3CDB"/>
    <w:rsid w:val="00DC4AC2"/>
    <w:rsid w:val="00DC4C34"/>
    <w:rsid w:val="00DC4D5C"/>
    <w:rsid w:val="00DC5AFC"/>
    <w:rsid w:val="00DC5BC1"/>
    <w:rsid w:val="00DC724E"/>
    <w:rsid w:val="00DC76D6"/>
    <w:rsid w:val="00DC7752"/>
    <w:rsid w:val="00DC7B79"/>
    <w:rsid w:val="00DC7D12"/>
    <w:rsid w:val="00DD01FE"/>
    <w:rsid w:val="00DD0D9A"/>
    <w:rsid w:val="00DD12BD"/>
    <w:rsid w:val="00DD271D"/>
    <w:rsid w:val="00DD2C95"/>
    <w:rsid w:val="00DD2FFF"/>
    <w:rsid w:val="00DD3808"/>
    <w:rsid w:val="00DD42D6"/>
    <w:rsid w:val="00DD4871"/>
    <w:rsid w:val="00DD4BB7"/>
    <w:rsid w:val="00DD681D"/>
    <w:rsid w:val="00DD7888"/>
    <w:rsid w:val="00DD78EE"/>
    <w:rsid w:val="00DD7C57"/>
    <w:rsid w:val="00DE0309"/>
    <w:rsid w:val="00DE0E23"/>
    <w:rsid w:val="00DE1456"/>
    <w:rsid w:val="00DE1A1A"/>
    <w:rsid w:val="00DE1BD2"/>
    <w:rsid w:val="00DE23A7"/>
    <w:rsid w:val="00DE25CC"/>
    <w:rsid w:val="00DE2B58"/>
    <w:rsid w:val="00DE2C95"/>
    <w:rsid w:val="00DE3524"/>
    <w:rsid w:val="00DE3862"/>
    <w:rsid w:val="00DE3962"/>
    <w:rsid w:val="00DE4ECE"/>
    <w:rsid w:val="00DE503F"/>
    <w:rsid w:val="00DE5B60"/>
    <w:rsid w:val="00DE61CC"/>
    <w:rsid w:val="00DE6FE1"/>
    <w:rsid w:val="00DE722A"/>
    <w:rsid w:val="00DE79B8"/>
    <w:rsid w:val="00DF0832"/>
    <w:rsid w:val="00DF0DB6"/>
    <w:rsid w:val="00DF206E"/>
    <w:rsid w:val="00DF21E6"/>
    <w:rsid w:val="00DF21F5"/>
    <w:rsid w:val="00DF35C9"/>
    <w:rsid w:val="00DF47F4"/>
    <w:rsid w:val="00DF5A68"/>
    <w:rsid w:val="00DF5C79"/>
    <w:rsid w:val="00DF5DF0"/>
    <w:rsid w:val="00DF6464"/>
    <w:rsid w:val="00DF6624"/>
    <w:rsid w:val="00DF66F5"/>
    <w:rsid w:val="00DF6A1D"/>
    <w:rsid w:val="00DF715C"/>
    <w:rsid w:val="00DF7510"/>
    <w:rsid w:val="00DF763B"/>
    <w:rsid w:val="00DF772F"/>
    <w:rsid w:val="00E002F2"/>
    <w:rsid w:val="00E00A3D"/>
    <w:rsid w:val="00E00DD2"/>
    <w:rsid w:val="00E0181B"/>
    <w:rsid w:val="00E021DF"/>
    <w:rsid w:val="00E03A65"/>
    <w:rsid w:val="00E06655"/>
    <w:rsid w:val="00E1098E"/>
    <w:rsid w:val="00E1104D"/>
    <w:rsid w:val="00E1198B"/>
    <w:rsid w:val="00E12607"/>
    <w:rsid w:val="00E126D7"/>
    <w:rsid w:val="00E133CD"/>
    <w:rsid w:val="00E14377"/>
    <w:rsid w:val="00E14646"/>
    <w:rsid w:val="00E14712"/>
    <w:rsid w:val="00E14B03"/>
    <w:rsid w:val="00E153B0"/>
    <w:rsid w:val="00E15955"/>
    <w:rsid w:val="00E15D3C"/>
    <w:rsid w:val="00E167D5"/>
    <w:rsid w:val="00E175E2"/>
    <w:rsid w:val="00E179CB"/>
    <w:rsid w:val="00E205EC"/>
    <w:rsid w:val="00E20A4C"/>
    <w:rsid w:val="00E2166B"/>
    <w:rsid w:val="00E21CD9"/>
    <w:rsid w:val="00E21DCC"/>
    <w:rsid w:val="00E21DE9"/>
    <w:rsid w:val="00E2229C"/>
    <w:rsid w:val="00E222FF"/>
    <w:rsid w:val="00E22652"/>
    <w:rsid w:val="00E22A4C"/>
    <w:rsid w:val="00E23B1D"/>
    <w:rsid w:val="00E24900"/>
    <w:rsid w:val="00E24CCA"/>
    <w:rsid w:val="00E2552E"/>
    <w:rsid w:val="00E2738C"/>
    <w:rsid w:val="00E30576"/>
    <w:rsid w:val="00E3112A"/>
    <w:rsid w:val="00E32AB7"/>
    <w:rsid w:val="00E330E5"/>
    <w:rsid w:val="00E33327"/>
    <w:rsid w:val="00E33565"/>
    <w:rsid w:val="00E33C79"/>
    <w:rsid w:val="00E33CC1"/>
    <w:rsid w:val="00E33ED0"/>
    <w:rsid w:val="00E347B4"/>
    <w:rsid w:val="00E357CD"/>
    <w:rsid w:val="00E362B9"/>
    <w:rsid w:val="00E36675"/>
    <w:rsid w:val="00E3739E"/>
    <w:rsid w:val="00E40A73"/>
    <w:rsid w:val="00E411BE"/>
    <w:rsid w:val="00E4166A"/>
    <w:rsid w:val="00E421DD"/>
    <w:rsid w:val="00E424E4"/>
    <w:rsid w:val="00E425FD"/>
    <w:rsid w:val="00E425FE"/>
    <w:rsid w:val="00E42790"/>
    <w:rsid w:val="00E429F9"/>
    <w:rsid w:val="00E42B97"/>
    <w:rsid w:val="00E431E5"/>
    <w:rsid w:val="00E432B3"/>
    <w:rsid w:val="00E43A8A"/>
    <w:rsid w:val="00E43C84"/>
    <w:rsid w:val="00E44193"/>
    <w:rsid w:val="00E4455A"/>
    <w:rsid w:val="00E449DE"/>
    <w:rsid w:val="00E45215"/>
    <w:rsid w:val="00E455D3"/>
    <w:rsid w:val="00E4717C"/>
    <w:rsid w:val="00E47BA4"/>
    <w:rsid w:val="00E502B0"/>
    <w:rsid w:val="00E502C2"/>
    <w:rsid w:val="00E50BA6"/>
    <w:rsid w:val="00E51162"/>
    <w:rsid w:val="00E51606"/>
    <w:rsid w:val="00E51D75"/>
    <w:rsid w:val="00E52471"/>
    <w:rsid w:val="00E52DCC"/>
    <w:rsid w:val="00E52E0B"/>
    <w:rsid w:val="00E532E3"/>
    <w:rsid w:val="00E53C35"/>
    <w:rsid w:val="00E53D04"/>
    <w:rsid w:val="00E53EA5"/>
    <w:rsid w:val="00E544B5"/>
    <w:rsid w:val="00E54C0B"/>
    <w:rsid w:val="00E54C53"/>
    <w:rsid w:val="00E54FB4"/>
    <w:rsid w:val="00E55064"/>
    <w:rsid w:val="00E55145"/>
    <w:rsid w:val="00E56563"/>
    <w:rsid w:val="00E56B11"/>
    <w:rsid w:val="00E56D33"/>
    <w:rsid w:val="00E56E5C"/>
    <w:rsid w:val="00E570C8"/>
    <w:rsid w:val="00E57BCE"/>
    <w:rsid w:val="00E60C77"/>
    <w:rsid w:val="00E61476"/>
    <w:rsid w:val="00E61B46"/>
    <w:rsid w:val="00E61D27"/>
    <w:rsid w:val="00E61FE6"/>
    <w:rsid w:val="00E62A3E"/>
    <w:rsid w:val="00E6327E"/>
    <w:rsid w:val="00E63565"/>
    <w:rsid w:val="00E63887"/>
    <w:rsid w:val="00E64A79"/>
    <w:rsid w:val="00E64F6F"/>
    <w:rsid w:val="00E66880"/>
    <w:rsid w:val="00E66D88"/>
    <w:rsid w:val="00E679EA"/>
    <w:rsid w:val="00E67E1A"/>
    <w:rsid w:val="00E67EC9"/>
    <w:rsid w:val="00E702FA"/>
    <w:rsid w:val="00E7070D"/>
    <w:rsid w:val="00E71633"/>
    <w:rsid w:val="00E7170C"/>
    <w:rsid w:val="00E71712"/>
    <w:rsid w:val="00E71787"/>
    <w:rsid w:val="00E71FEC"/>
    <w:rsid w:val="00E720E0"/>
    <w:rsid w:val="00E72923"/>
    <w:rsid w:val="00E72AE4"/>
    <w:rsid w:val="00E73B1D"/>
    <w:rsid w:val="00E73CA6"/>
    <w:rsid w:val="00E73D8D"/>
    <w:rsid w:val="00E74340"/>
    <w:rsid w:val="00E749D1"/>
    <w:rsid w:val="00E74E88"/>
    <w:rsid w:val="00E75191"/>
    <w:rsid w:val="00E75BE6"/>
    <w:rsid w:val="00E7645E"/>
    <w:rsid w:val="00E764C8"/>
    <w:rsid w:val="00E76712"/>
    <w:rsid w:val="00E76E31"/>
    <w:rsid w:val="00E77B56"/>
    <w:rsid w:val="00E77BE1"/>
    <w:rsid w:val="00E8007C"/>
    <w:rsid w:val="00E80FDA"/>
    <w:rsid w:val="00E81939"/>
    <w:rsid w:val="00E82111"/>
    <w:rsid w:val="00E8212D"/>
    <w:rsid w:val="00E82A6C"/>
    <w:rsid w:val="00E82A95"/>
    <w:rsid w:val="00E8313D"/>
    <w:rsid w:val="00E8389B"/>
    <w:rsid w:val="00E83D30"/>
    <w:rsid w:val="00E83E10"/>
    <w:rsid w:val="00E84347"/>
    <w:rsid w:val="00E84654"/>
    <w:rsid w:val="00E8483A"/>
    <w:rsid w:val="00E84F06"/>
    <w:rsid w:val="00E863E7"/>
    <w:rsid w:val="00E8660D"/>
    <w:rsid w:val="00E867E6"/>
    <w:rsid w:val="00E87C84"/>
    <w:rsid w:val="00E87DFF"/>
    <w:rsid w:val="00E87FC4"/>
    <w:rsid w:val="00E91D42"/>
    <w:rsid w:val="00E92BBB"/>
    <w:rsid w:val="00E92EBE"/>
    <w:rsid w:val="00E93181"/>
    <w:rsid w:val="00E93A5F"/>
    <w:rsid w:val="00E93CD6"/>
    <w:rsid w:val="00E94A6E"/>
    <w:rsid w:val="00E94CFC"/>
    <w:rsid w:val="00E94DA7"/>
    <w:rsid w:val="00E96268"/>
    <w:rsid w:val="00E966CF"/>
    <w:rsid w:val="00E96834"/>
    <w:rsid w:val="00E96869"/>
    <w:rsid w:val="00E96F30"/>
    <w:rsid w:val="00EA0AED"/>
    <w:rsid w:val="00EA0FDA"/>
    <w:rsid w:val="00EA1298"/>
    <w:rsid w:val="00EA1454"/>
    <w:rsid w:val="00EA1894"/>
    <w:rsid w:val="00EA1B20"/>
    <w:rsid w:val="00EA1B4E"/>
    <w:rsid w:val="00EA1D5F"/>
    <w:rsid w:val="00EA1E2A"/>
    <w:rsid w:val="00EA1E2D"/>
    <w:rsid w:val="00EA1E8C"/>
    <w:rsid w:val="00EA20CF"/>
    <w:rsid w:val="00EA20F9"/>
    <w:rsid w:val="00EA2E37"/>
    <w:rsid w:val="00EA2FE0"/>
    <w:rsid w:val="00EA3618"/>
    <w:rsid w:val="00EA371C"/>
    <w:rsid w:val="00EA414A"/>
    <w:rsid w:val="00EA423B"/>
    <w:rsid w:val="00EA4987"/>
    <w:rsid w:val="00EA557E"/>
    <w:rsid w:val="00EA55E7"/>
    <w:rsid w:val="00EA6110"/>
    <w:rsid w:val="00EA6476"/>
    <w:rsid w:val="00EA6525"/>
    <w:rsid w:val="00EA68BD"/>
    <w:rsid w:val="00EA7067"/>
    <w:rsid w:val="00EA7073"/>
    <w:rsid w:val="00EA7143"/>
    <w:rsid w:val="00EA72F2"/>
    <w:rsid w:val="00EB00BD"/>
    <w:rsid w:val="00EB0361"/>
    <w:rsid w:val="00EB0C41"/>
    <w:rsid w:val="00EB0C89"/>
    <w:rsid w:val="00EB1140"/>
    <w:rsid w:val="00EB1AA1"/>
    <w:rsid w:val="00EB2CF4"/>
    <w:rsid w:val="00EB2DAA"/>
    <w:rsid w:val="00EB2EE3"/>
    <w:rsid w:val="00EB304D"/>
    <w:rsid w:val="00EB368B"/>
    <w:rsid w:val="00EB6424"/>
    <w:rsid w:val="00EB70A1"/>
    <w:rsid w:val="00EB76B8"/>
    <w:rsid w:val="00EC086D"/>
    <w:rsid w:val="00EC0E50"/>
    <w:rsid w:val="00EC1106"/>
    <w:rsid w:val="00EC196F"/>
    <w:rsid w:val="00EC1BFC"/>
    <w:rsid w:val="00EC1D5C"/>
    <w:rsid w:val="00EC31AF"/>
    <w:rsid w:val="00EC3591"/>
    <w:rsid w:val="00EC367D"/>
    <w:rsid w:val="00EC3F2F"/>
    <w:rsid w:val="00EC460E"/>
    <w:rsid w:val="00EC4693"/>
    <w:rsid w:val="00EC46E1"/>
    <w:rsid w:val="00EC4937"/>
    <w:rsid w:val="00EC4EEA"/>
    <w:rsid w:val="00EC570D"/>
    <w:rsid w:val="00EC5D9C"/>
    <w:rsid w:val="00EC647F"/>
    <w:rsid w:val="00EC691A"/>
    <w:rsid w:val="00EC69EF"/>
    <w:rsid w:val="00EC72B9"/>
    <w:rsid w:val="00EC7C08"/>
    <w:rsid w:val="00EC7C87"/>
    <w:rsid w:val="00ED0432"/>
    <w:rsid w:val="00ED0530"/>
    <w:rsid w:val="00ED0EA8"/>
    <w:rsid w:val="00ED1068"/>
    <w:rsid w:val="00ED131C"/>
    <w:rsid w:val="00ED13BC"/>
    <w:rsid w:val="00ED1498"/>
    <w:rsid w:val="00ED1D8D"/>
    <w:rsid w:val="00ED28B4"/>
    <w:rsid w:val="00ED3BB6"/>
    <w:rsid w:val="00ED3D5A"/>
    <w:rsid w:val="00ED5652"/>
    <w:rsid w:val="00ED591D"/>
    <w:rsid w:val="00ED5E68"/>
    <w:rsid w:val="00ED60BD"/>
    <w:rsid w:val="00ED61E6"/>
    <w:rsid w:val="00ED78C3"/>
    <w:rsid w:val="00ED7F5D"/>
    <w:rsid w:val="00EE03F1"/>
    <w:rsid w:val="00EE0BE1"/>
    <w:rsid w:val="00EE0DD2"/>
    <w:rsid w:val="00EE193C"/>
    <w:rsid w:val="00EE1BE4"/>
    <w:rsid w:val="00EE1BE5"/>
    <w:rsid w:val="00EE223A"/>
    <w:rsid w:val="00EE2A1F"/>
    <w:rsid w:val="00EE2CED"/>
    <w:rsid w:val="00EE452D"/>
    <w:rsid w:val="00EE5319"/>
    <w:rsid w:val="00EE536C"/>
    <w:rsid w:val="00EE5681"/>
    <w:rsid w:val="00EE6619"/>
    <w:rsid w:val="00EE738B"/>
    <w:rsid w:val="00EE7DE0"/>
    <w:rsid w:val="00EF038D"/>
    <w:rsid w:val="00EF0CBF"/>
    <w:rsid w:val="00EF0DDB"/>
    <w:rsid w:val="00EF0DF1"/>
    <w:rsid w:val="00EF117A"/>
    <w:rsid w:val="00EF23BD"/>
    <w:rsid w:val="00EF247D"/>
    <w:rsid w:val="00EF28BA"/>
    <w:rsid w:val="00EF294C"/>
    <w:rsid w:val="00EF299D"/>
    <w:rsid w:val="00EF334D"/>
    <w:rsid w:val="00EF3E4D"/>
    <w:rsid w:val="00EF3FC1"/>
    <w:rsid w:val="00EF4423"/>
    <w:rsid w:val="00EF4B05"/>
    <w:rsid w:val="00EF4B12"/>
    <w:rsid w:val="00EF5085"/>
    <w:rsid w:val="00EF52E5"/>
    <w:rsid w:val="00EF544F"/>
    <w:rsid w:val="00EF61C3"/>
    <w:rsid w:val="00EF6630"/>
    <w:rsid w:val="00EF6DF5"/>
    <w:rsid w:val="00EF7224"/>
    <w:rsid w:val="00EF749B"/>
    <w:rsid w:val="00F0039E"/>
    <w:rsid w:val="00F0094A"/>
    <w:rsid w:val="00F00DC0"/>
    <w:rsid w:val="00F012E6"/>
    <w:rsid w:val="00F0152A"/>
    <w:rsid w:val="00F01894"/>
    <w:rsid w:val="00F020F9"/>
    <w:rsid w:val="00F028D4"/>
    <w:rsid w:val="00F028DA"/>
    <w:rsid w:val="00F03184"/>
    <w:rsid w:val="00F03323"/>
    <w:rsid w:val="00F03A11"/>
    <w:rsid w:val="00F046CA"/>
    <w:rsid w:val="00F0491D"/>
    <w:rsid w:val="00F057DE"/>
    <w:rsid w:val="00F062BC"/>
    <w:rsid w:val="00F064D4"/>
    <w:rsid w:val="00F06EC0"/>
    <w:rsid w:val="00F07436"/>
    <w:rsid w:val="00F07F98"/>
    <w:rsid w:val="00F07FBE"/>
    <w:rsid w:val="00F1002C"/>
    <w:rsid w:val="00F10350"/>
    <w:rsid w:val="00F10E18"/>
    <w:rsid w:val="00F1133E"/>
    <w:rsid w:val="00F11890"/>
    <w:rsid w:val="00F123D6"/>
    <w:rsid w:val="00F12848"/>
    <w:rsid w:val="00F12893"/>
    <w:rsid w:val="00F12B4A"/>
    <w:rsid w:val="00F12E87"/>
    <w:rsid w:val="00F13492"/>
    <w:rsid w:val="00F145F4"/>
    <w:rsid w:val="00F15332"/>
    <w:rsid w:val="00F165AF"/>
    <w:rsid w:val="00F166F5"/>
    <w:rsid w:val="00F16882"/>
    <w:rsid w:val="00F1758C"/>
    <w:rsid w:val="00F177B4"/>
    <w:rsid w:val="00F17CE8"/>
    <w:rsid w:val="00F207BD"/>
    <w:rsid w:val="00F20C79"/>
    <w:rsid w:val="00F212D3"/>
    <w:rsid w:val="00F22171"/>
    <w:rsid w:val="00F22C97"/>
    <w:rsid w:val="00F232B2"/>
    <w:rsid w:val="00F240E1"/>
    <w:rsid w:val="00F25407"/>
    <w:rsid w:val="00F25E4B"/>
    <w:rsid w:val="00F2648A"/>
    <w:rsid w:val="00F26B34"/>
    <w:rsid w:val="00F27121"/>
    <w:rsid w:val="00F27373"/>
    <w:rsid w:val="00F2782B"/>
    <w:rsid w:val="00F27B08"/>
    <w:rsid w:val="00F3001D"/>
    <w:rsid w:val="00F30794"/>
    <w:rsid w:val="00F30987"/>
    <w:rsid w:val="00F313F0"/>
    <w:rsid w:val="00F31F65"/>
    <w:rsid w:val="00F31FAE"/>
    <w:rsid w:val="00F32AC1"/>
    <w:rsid w:val="00F32B88"/>
    <w:rsid w:val="00F3330E"/>
    <w:rsid w:val="00F35460"/>
    <w:rsid w:val="00F3561B"/>
    <w:rsid w:val="00F3562D"/>
    <w:rsid w:val="00F36067"/>
    <w:rsid w:val="00F363FF"/>
    <w:rsid w:val="00F36780"/>
    <w:rsid w:val="00F36E68"/>
    <w:rsid w:val="00F403BC"/>
    <w:rsid w:val="00F40543"/>
    <w:rsid w:val="00F405C4"/>
    <w:rsid w:val="00F40651"/>
    <w:rsid w:val="00F407DF"/>
    <w:rsid w:val="00F40C76"/>
    <w:rsid w:val="00F40E76"/>
    <w:rsid w:val="00F40F9E"/>
    <w:rsid w:val="00F40FFE"/>
    <w:rsid w:val="00F41234"/>
    <w:rsid w:val="00F41E81"/>
    <w:rsid w:val="00F4234A"/>
    <w:rsid w:val="00F4265E"/>
    <w:rsid w:val="00F4377B"/>
    <w:rsid w:val="00F43B8E"/>
    <w:rsid w:val="00F44997"/>
    <w:rsid w:val="00F458F4"/>
    <w:rsid w:val="00F47794"/>
    <w:rsid w:val="00F4791D"/>
    <w:rsid w:val="00F500EC"/>
    <w:rsid w:val="00F504AF"/>
    <w:rsid w:val="00F50B0C"/>
    <w:rsid w:val="00F50EC7"/>
    <w:rsid w:val="00F5159E"/>
    <w:rsid w:val="00F51897"/>
    <w:rsid w:val="00F520CF"/>
    <w:rsid w:val="00F54302"/>
    <w:rsid w:val="00F5453B"/>
    <w:rsid w:val="00F549D7"/>
    <w:rsid w:val="00F54A88"/>
    <w:rsid w:val="00F554D0"/>
    <w:rsid w:val="00F55A48"/>
    <w:rsid w:val="00F5706C"/>
    <w:rsid w:val="00F57765"/>
    <w:rsid w:val="00F604DC"/>
    <w:rsid w:val="00F604E4"/>
    <w:rsid w:val="00F604F5"/>
    <w:rsid w:val="00F60EC3"/>
    <w:rsid w:val="00F61C1D"/>
    <w:rsid w:val="00F6210D"/>
    <w:rsid w:val="00F62A47"/>
    <w:rsid w:val="00F62A6E"/>
    <w:rsid w:val="00F62C26"/>
    <w:rsid w:val="00F645D0"/>
    <w:rsid w:val="00F654BE"/>
    <w:rsid w:val="00F65C4F"/>
    <w:rsid w:val="00F662B6"/>
    <w:rsid w:val="00F6650B"/>
    <w:rsid w:val="00F6717D"/>
    <w:rsid w:val="00F67F25"/>
    <w:rsid w:val="00F7071E"/>
    <w:rsid w:val="00F71455"/>
    <w:rsid w:val="00F71A2B"/>
    <w:rsid w:val="00F71C43"/>
    <w:rsid w:val="00F7262E"/>
    <w:rsid w:val="00F727AE"/>
    <w:rsid w:val="00F72A2F"/>
    <w:rsid w:val="00F72D2E"/>
    <w:rsid w:val="00F7314D"/>
    <w:rsid w:val="00F73202"/>
    <w:rsid w:val="00F743BA"/>
    <w:rsid w:val="00F747FE"/>
    <w:rsid w:val="00F74CDA"/>
    <w:rsid w:val="00F74F61"/>
    <w:rsid w:val="00F74F65"/>
    <w:rsid w:val="00F75967"/>
    <w:rsid w:val="00F75A18"/>
    <w:rsid w:val="00F75BCB"/>
    <w:rsid w:val="00F76BB3"/>
    <w:rsid w:val="00F77EDB"/>
    <w:rsid w:val="00F77F84"/>
    <w:rsid w:val="00F8098E"/>
    <w:rsid w:val="00F82450"/>
    <w:rsid w:val="00F82E6C"/>
    <w:rsid w:val="00F856BA"/>
    <w:rsid w:val="00F857BB"/>
    <w:rsid w:val="00F864DD"/>
    <w:rsid w:val="00F86CAF"/>
    <w:rsid w:val="00F86F6F"/>
    <w:rsid w:val="00F87046"/>
    <w:rsid w:val="00F87625"/>
    <w:rsid w:val="00F87953"/>
    <w:rsid w:val="00F879AF"/>
    <w:rsid w:val="00F87B30"/>
    <w:rsid w:val="00F87ED6"/>
    <w:rsid w:val="00F91BFF"/>
    <w:rsid w:val="00F92057"/>
    <w:rsid w:val="00F92187"/>
    <w:rsid w:val="00F929BC"/>
    <w:rsid w:val="00F93E07"/>
    <w:rsid w:val="00F9445A"/>
    <w:rsid w:val="00F94D6C"/>
    <w:rsid w:val="00F94F95"/>
    <w:rsid w:val="00F95003"/>
    <w:rsid w:val="00F9561A"/>
    <w:rsid w:val="00F95788"/>
    <w:rsid w:val="00F96658"/>
    <w:rsid w:val="00F96889"/>
    <w:rsid w:val="00F970B6"/>
    <w:rsid w:val="00F9799A"/>
    <w:rsid w:val="00F97AAD"/>
    <w:rsid w:val="00FA0054"/>
    <w:rsid w:val="00FA084F"/>
    <w:rsid w:val="00FA0C28"/>
    <w:rsid w:val="00FA0D15"/>
    <w:rsid w:val="00FA0E39"/>
    <w:rsid w:val="00FA146F"/>
    <w:rsid w:val="00FA15F2"/>
    <w:rsid w:val="00FA20D9"/>
    <w:rsid w:val="00FA2246"/>
    <w:rsid w:val="00FA2263"/>
    <w:rsid w:val="00FA3486"/>
    <w:rsid w:val="00FA38F6"/>
    <w:rsid w:val="00FA3FD0"/>
    <w:rsid w:val="00FA4655"/>
    <w:rsid w:val="00FA521A"/>
    <w:rsid w:val="00FA5428"/>
    <w:rsid w:val="00FA56A8"/>
    <w:rsid w:val="00FA6356"/>
    <w:rsid w:val="00FA6740"/>
    <w:rsid w:val="00FA6A3F"/>
    <w:rsid w:val="00FA75AF"/>
    <w:rsid w:val="00FA7D66"/>
    <w:rsid w:val="00FA7DA7"/>
    <w:rsid w:val="00FB025D"/>
    <w:rsid w:val="00FB0485"/>
    <w:rsid w:val="00FB1455"/>
    <w:rsid w:val="00FB1536"/>
    <w:rsid w:val="00FB1A0F"/>
    <w:rsid w:val="00FB1C5E"/>
    <w:rsid w:val="00FB22F6"/>
    <w:rsid w:val="00FB239B"/>
    <w:rsid w:val="00FB26FD"/>
    <w:rsid w:val="00FB2AF6"/>
    <w:rsid w:val="00FB4BB5"/>
    <w:rsid w:val="00FB4E5C"/>
    <w:rsid w:val="00FB5F40"/>
    <w:rsid w:val="00FB6B08"/>
    <w:rsid w:val="00FB6CFE"/>
    <w:rsid w:val="00FB7763"/>
    <w:rsid w:val="00FB7979"/>
    <w:rsid w:val="00FB7DEE"/>
    <w:rsid w:val="00FB7EA9"/>
    <w:rsid w:val="00FB7EC1"/>
    <w:rsid w:val="00FC07BD"/>
    <w:rsid w:val="00FC0D0F"/>
    <w:rsid w:val="00FC1560"/>
    <w:rsid w:val="00FC1BA8"/>
    <w:rsid w:val="00FC1F13"/>
    <w:rsid w:val="00FC28FB"/>
    <w:rsid w:val="00FC3068"/>
    <w:rsid w:val="00FC3286"/>
    <w:rsid w:val="00FC3946"/>
    <w:rsid w:val="00FC4888"/>
    <w:rsid w:val="00FC5133"/>
    <w:rsid w:val="00FC52F3"/>
    <w:rsid w:val="00FC53EA"/>
    <w:rsid w:val="00FC562A"/>
    <w:rsid w:val="00FC5926"/>
    <w:rsid w:val="00FC5AF5"/>
    <w:rsid w:val="00FC5EF4"/>
    <w:rsid w:val="00FC5FAC"/>
    <w:rsid w:val="00FC644B"/>
    <w:rsid w:val="00FC70BA"/>
    <w:rsid w:val="00FC7932"/>
    <w:rsid w:val="00FD03B3"/>
    <w:rsid w:val="00FD05C4"/>
    <w:rsid w:val="00FD0F40"/>
    <w:rsid w:val="00FD1162"/>
    <w:rsid w:val="00FD19DB"/>
    <w:rsid w:val="00FD1F56"/>
    <w:rsid w:val="00FD27F6"/>
    <w:rsid w:val="00FD2909"/>
    <w:rsid w:val="00FD2996"/>
    <w:rsid w:val="00FD2A9D"/>
    <w:rsid w:val="00FD2FD8"/>
    <w:rsid w:val="00FD376C"/>
    <w:rsid w:val="00FD4177"/>
    <w:rsid w:val="00FD43B9"/>
    <w:rsid w:val="00FD5968"/>
    <w:rsid w:val="00FD5E8D"/>
    <w:rsid w:val="00FD6B51"/>
    <w:rsid w:val="00FD7688"/>
    <w:rsid w:val="00FD7DE5"/>
    <w:rsid w:val="00FE0435"/>
    <w:rsid w:val="00FE14A0"/>
    <w:rsid w:val="00FE193D"/>
    <w:rsid w:val="00FE19E4"/>
    <w:rsid w:val="00FE2AE6"/>
    <w:rsid w:val="00FE2B71"/>
    <w:rsid w:val="00FE2FAE"/>
    <w:rsid w:val="00FE364D"/>
    <w:rsid w:val="00FE3A88"/>
    <w:rsid w:val="00FE3DAC"/>
    <w:rsid w:val="00FE3F41"/>
    <w:rsid w:val="00FE437F"/>
    <w:rsid w:val="00FE4764"/>
    <w:rsid w:val="00FE4BCF"/>
    <w:rsid w:val="00FE6126"/>
    <w:rsid w:val="00FE68C6"/>
    <w:rsid w:val="00FE6924"/>
    <w:rsid w:val="00FE697C"/>
    <w:rsid w:val="00FE6E92"/>
    <w:rsid w:val="00FE71E6"/>
    <w:rsid w:val="00FF007D"/>
    <w:rsid w:val="00FF00AA"/>
    <w:rsid w:val="00FF0359"/>
    <w:rsid w:val="00FF11C2"/>
    <w:rsid w:val="00FF27BE"/>
    <w:rsid w:val="00FF2D78"/>
    <w:rsid w:val="00FF3688"/>
    <w:rsid w:val="00FF3C1C"/>
    <w:rsid w:val="00FF421B"/>
    <w:rsid w:val="00FF460E"/>
    <w:rsid w:val="00FF552F"/>
    <w:rsid w:val="00FF56AC"/>
    <w:rsid w:val="00FF72AE"/>
    <w:rsid w:val="00FF735F"/>
    <w:rsid w:val="00FF74B0"/>
    <w:rsid w:val="00FF7BB3"/>
    <w:rsid w:val="00FF7CC0"/>
    <w:rsid w:val="058157F3"/>
    <w:rsid w:val="11BA650E"/>
    <w:rsid w:val="19322678"/>
    <w:rsid w:val="1ED1195B"/>
    <w:rsid w:val="1EF2180D"/>
    <w:rsid w:val="25C83D4B"/>
    <w:rsid w:val="315A752E"/>
    <w:rsid w:val="366F4D54"/>
    <w:rsid w:val="38246937"/>
    <w:rsid w:val="393C06AF"/>
    <w:rsid w:val="43A82204"/>
    <w:rsid w:val="53EC4280"/>
    <w:rsid w:val="56C22635"/>
    <w:rsid w:val="619D6F12"/>
    <w:rsid w:val="652F65FB"/>
    <w:rsid w:val="689D7594"/>
    <w:rsid w:val="6A6C5F8E"/>
    <w:rsid w:val="7D807FDA"/>
    <w:rsid w:val="7E665422"/>
    <w:rsid w:val="D76F2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napToGrid w:val="0"/>
      <w:spacing w:line="600" w:lineRule="exact"/>
      <w:ind w:firstLine="200" w:firstLineChars="200"/>
      <w:outlineLvl w:val="0"/>
    </w:pPr>
    <w:rPr>
      <w:rFonts w:ascii="Times New Roman" w:hAnsi="Times New Roman" w:eastAsia="方正黑体_GBK"/>
      <w:bCs/>
      <w:kern w:val="44"/>
      <w:sz w:val="30"/>
      <w:szCs w:val="30"/>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pPr>
      <w:spacing w:line="360" w:lineRule="auto"/>
      <w:ind w:firstLine="420" w:firstLineChars="200"/>
    </w:pPr>
    <w:rPr>
      <w:rFonts w:ascii="Arial" w:hAnsi="Arial" w:eastAsia="黑体"/>
      <w:sz w:val="20"/>
      <w:szCs w:val="24"/>
    </w:rPr>
  </w:style>
  <w:style w:type="paragraph" w:styleId="5">
    <w:name w:val="Document Map"/>
    <w:basedOn w:val="1"/>
    <w:link w:val="24"/>
    <w:unhideWhenUsed/>
    <w:qFormat/>
    <w:uiPriority w:val="99"/>
    <w:rPr>
      <w:rFonts w:ascii="宋体"/>
      <w:kern w:val="0"/>
      <w:sz w:val="18"/>
      <w:szCs w:val="18"/>
    </w:rPr>
  </w:style>
  <w:style w:type="paragraph" w:styleId="6">
    <w:name w:val="annotation text"/>
    <w:basedOn w:val="1"/>
    <w:link w:val="22"/>
    <w:unhideWhenUsed/>
    <w:qFormat/>
    <w:uiPriority w:val="99"/>
    <w:pPr>
      <w:jc w:val="left"/>
    </w:p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6"/>
    <w:unhideWhenUsed/>
    <w:qFormat/>
    <w:uiPriority w:val="99"/>
    <w:rPr>
      <w:kern w:val="0"/>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able of figures"/>
    <w:basedOn w:val="1"/>
    <w:next w:val="1"/>
    <w:unhideWhenUsed/>
    <w:qFormat/>
    <w:uiPriority w:val="99"/>
    <w:pPr>
      <w:ind w:left="200" w:leftChars="200" w:hanging="200" w:hangingChars="200"/>
    </w:pPr>
  </w:style>
  <w:style w:type="paragraph" w:styleId="12">
    <w:name w:val="annotation subject"/>
    <w:basedOn w:val="6"/>
    <w:next w:val="6"/>
    <w:link w:val="25"/>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unhideWhenUsed/>
    <w:qFormat/>
    <w:uiPriority w:val="99"/>
    <w:rPr>
      <w:sz w:val="21"/>
      <w:szCs w:val="21"/>
    </w:rPr>
  </w:style>
  <w:style w:type="paragraph" w:styleId="17">
    <w:name w:val="List Paragraph"/>
    <w:basedOn w:val="1"/>
    <w:qFormat/>
    <w:uiPriority w:val="34"/>
    <w:pPr>
      <w:ind w:firstLine="420" w:firstLineChars="200"/>
    </w:pPr>
  </w:style>
  <w:style w:type="paragraph" w:customStyle="1" w:styleId="18">
    <w:name w:val="表标题"/>
    <w:basedOn w:val="1"/>
    <w:link w:val="21"/>
    <w:qFormat/>
    <w:uiPriority w:val="0"/>
    <w:pPr>
      <w:widowControl/>
      <w:spacing w:before="240" w:after="120" w:line="600" w:lineRule="exact"/>
      <w:jc w:val="center"/>
    </w:pPr>
    <w:rPr>
      <w:rFonts w:ascii="Times New Roman" w:hAnsi="Times New Roman" w:eastAsia="楷体_GB2312"/>
      <w:color w:val="000000"/>
      <w:kern w:val="0"/>
      <w:sz w:val="28"/>
      <w:szCs w:val="20"/>
    </w:rPr>
  </w:style>
  <w:style w:type="paragraph" w:customStyle="1" w:styleId="19">
    <w:name w:val="表样式"/>
    <w:basedOn w:val="11"/>
    <w:qFormat/>
    <w:uiPriority w:val="0"/>
    <w:pPr>
      <w:snapToGrid w:val="0"/>
      <w:ind w:left="0" w:leftChars="0" w:firstLine="0" w:firstLineChars="0"/>
    </w:pPr>
    <w:rPr>
      <w:rFonts w:ascii="Times New Roman" w:hAnsi="Times New Roman" w:eastAsia="仿宋_GB2312"/>
      <w:sz w:val="24"/>
      <w:szCs w:val="20"/>
    </w:rPr>
  </w:style>
  <w:style w:type="character" w:customStyle="1" w:styleId="20">
    <w:name w:val="页脚 字符"/>
    <w:qFormat/>
    <w:uiPriority w:val="99"/>
  </w:style>
  <w:style w:type="character" w:customStyle="1" w:styleId="21">
    <w:name w:val="表标题 Char"/>
    <w:link w:val="18"/>
    <w:qFormat/>
    <w:uiPriority w:val="0"/>
    <w:rPr>
      <w:rFonts w:ascii="Times New Roman" w:hAnsi="Times New Roman" w:eastAsia="楷体_GB2312"/>
      <w:color w:val="000000"/>
      <w:sz w:val="28"/>
    </w:rPr>
  </w:style>
  <w:style w:type="character" w:customStyle="1" w:styleId="22">
    <w:name w:val="批注文字 Char"/>
    <w:link w:val="6"/>
    <w:semiHidden/>
    <w:qFormat/>
    <w:uiPriority w:val="99"/>
    <w:rPr>
      <w:kern w:val="2"/>
      <w:sz w:val="21"/>
      <w:szCs w:val="22"/>
    </w:rPr>
  </w:style>
  <w:style w:type="character" w:customStyle="1" w:styleId="23">
    <w:name w:val="标题 1 Char"/>
    <w:link w:val="2"/>
    <w:qFormat/>
    <w:uiPriority w:val="9"/>
    <w:rPr>
      <w:rFonts w:ascii="Times New Roman" w:hAnsi="Times New Roman" w:eastAsia="方正黑体_GBK"/>
      <w:bCs/>
      <w:kern w:val="44"/>
      <w:sz w:val="30"/>
      <w:szCs w:val="30"/>
    </w:rPr>
  </w:style>
  <w:style w:type="character" w:customStyle="1" w:styleId="24">
    <w:name w:val="文档结构图 Char"/>
    <w:link w:val="5"/>
    <w:semiHidden/>
    <w:qFormat/>
    <w:uiPriority w:val="99"/>
    <w:rPr>
      <w:rFonts w:ascii="宋体" w:eastAsia="宋体"/>
      <w:sz w:val="18"/>
      <w:szCs w:val="18"/>
    </w:rPr>
  </w:style>
  <w:style w:type="character" w:customStyle="1" w:styleId="25">
    <w:name w:val="批注主题 Char"/>
    <w:link w:val="12"/>
    <w:semiHidden/>
    <w:qFormat/>
    <w:uiPriority w:val="99"/>
    <w:rPr>
      <w:b/>
      <w:bCs/>
      <w:kern w:val="2"/>
      <w:sz w:val="21"/>
      <w:szCs w:val="22"/>
    </w:rPr>
  </w:style>
  <w:style w:type="character" w:customStyle="1" w:styleId="26">
    <w:name w:val="批注框文本 Char"/>
    <w:link w:val="8"/>
    <w:semiHidden/>
    <w:qFormat/>
    <w:uiPriority w:val="99"/>
    <w:rPr>
      <w:sz w:val="18"/>
      <w:szCs w:val="18"/>
    </w:rPr>
  </w:style>
  <w:style w:type="character" w:customStyle="1" w:styleId="27">
    <w:name w:val="页眉 Char"/>
    <w:link w:val="10"/>
    <w:qFormat/>
    <w:uiPriority w:val="99"/>
    <w:rPr>
      <w:sz w:val="18"/>
      <w:szCs w:val="18"/>
    </w:rPr>
  </w:style>
  <w:style w:type="character" w:customStyle="1" w:styleId="28">
    <w:name w:val="页脚 Char"/>
    <w:link w:val="9"/>
    <w:qFormat/>
    <w:uiPriority w:val="99"/>
    <w:rPr>
      <w:sz w:val="18"/>
      <w:szCs w:val="18"/>
    </w:rPr>
  </w:style>
  <w:style w:type="character" w:customStyle="1" w:styleId="29">
    <w:name w:val="标题 2 Char"/>
    <w:link w:val="3"/>
    <w:qFormat/>
    <w:uiPriority w:val="9"/>
    <w:rPr>
      <w:rFonts w:ascii="Cambria" w:hAnsi="Cambria" w:eastAsia="宋体" w:cs="Times New Roman"/>
      <w:b/>
      <w:bCs/>
      <w:sz w:val="32"/>
      <w:szCs w:val="32"/>
    </w:rPr>
  </w:style>
  <w:style w:type="character" w:customStyle="1" w:styleId="30">
    <w:name w:val="font21"/>
    <w:qFormat/>
    <w:uiPriority w:val="0"/>
    <w:rPr>
      <w:rFonts w:hint="default" w:ascii="Times New Roman" w:hAnsi="Times New Roman" w:cs="Times New Roman"/>
      <w:b/>
      <w:bCs/>
      <w:color w:val="000000"/>
      <w:sz w:val="22"/>
      <w:szCs w:val="22"/>
      <w:u w:val="none"/>
    </w:rPr>
  </w:style>
  <w:style w:type="character" w:customStyle="1" w:styleId="31">
    <w:name w:val="font11"/>
    <w:qFormat/>
    <w:uiPriority w:val="0"/>
    <w:rPr>
      <w:rFonts w:hint="eastAsia" w:ascii="宋体" w:hAnsi="宋体" w:eastAsia="宋体" w:cs="宋体"/>
      <w:b/>
      <w:bCs/>
      <w:color w:val="000000"/>
      <w:sz w:val="22"/>
      <w:szCs w:val="22"/>
      <w:u w:val="none"/>
    </w:rPr>
  </w:style>
  <w:style w:type="character" w:customStyle="1" w:styleId="32">
    <w:name w:val="日期 Char"/>
    <w:basedOn w:val="15"/>
    <w:link w:val="7"/>
    <w:semiHidden/>
    <w:qFormat/>
    <w:uiPriority w:val="99"/>
    <w:rPr>
      <w:kern w:val="2"/>
      <w:sz w:val="21"/>
      <w:szCs w:val="22"/>
    </w:rPr>
  </w:style>
  <w:style w:type="paragraph" w:customStyle="1" w:styleId="3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3788</Words>
  <Characters>6256</Characters>
  <Lines>56</Lines>
  <Paragraphs>15</Paragraphs>
  <TotalTime>6</TotalTime>
  <ScaleCrop>false</ScaleCrop>
  <LinksUpToDate>false</LinksUpToDate>
  <CharactersWithSpaces>6283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2022-08-29T21:09:00Z</dcterms:created>
  <dc:creator>刘建东</dc:creator>
  <cp:lastModifiedBy>小笨</cp:lastModifiedBy>
  <cp:lastPrinted>2020-05-08T10:05:00Z</cp:lastPrinted>
  <dcterms:modified xsi:type="dcterms:W3CDTF">2022-09-16T11:31:39Z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15E3052815F74DE79139D549CBFF38CC</vt:lpwstr>
  </property>
</Properties>
</file>