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ascii="黑体" w:hAnsi="黑体" w:eastAsia="黑体" w:cs="Times New Roman"/>
          <w:sz w:val="32"/>
          <w:szCs w:val="32"/>
        </w:rPr>
      </w:pPr>
      <w:bookmarkStart w:id="0" w:name="_GoBack"/>
      <w:bookmarkEnd w:id="0"/>
      <w:r>
        <w:rPr>
          <w:rFonts w:hint="eastAsia" w:ascii="黑体" w:hAnsi="黑体" w:eastAsia="黑体" w:cs="Times New Roman"/>
          <w:sz w:val="32"/>
          <w:szCs w:val="32"/>
        </w:rPr>
        <w:t>附件</w:t>
      </w:r>
    </w:p>
    <w:p>
      <w:pPr>
        <w:snapToGrid w:val="0"/>
        <w:jc w:val="left"/>
        <w:rPr>
          <w:rFonts w:ascii="黑体" w:hAnsi="黑体" w:eastAsia="黑体" w:cs="Times New Roman"/>
          <w:sz w:val="32"/>
          <w:szCs w:val="32"/>
        </w:rPr>
      </w:pPr>
    </w:p>
    <w:p>
      <w:pPr>
        <w:snapToGrid w:val="0"/>
        <w:ind w:firstLine="320" w:firstLineChars="100"/>
        <w:jc w:val="center"/>
        <w:rPr>
          <w:rFonts w:ascii="方正小标宋_GBK" w:hAnsi="方正小标宋简体" w:eastAsia="方正小标宋_GBK" w:cs="Times New Roman"/>
          <w:sz w:val="32"/>
          <w:szCs w:val="32"/>
        </w:rPr>
      </w:pPr>
      <w:r>
        <w:rPr>
          <w:rFonts w:hint="eastAsia" w:ascii="方正小标宋_GBK" w:hAnsi="方正小标宋简体" w:eastAsia="方正小标宋_GBK" w:cs="Times New Roman"/>
          <w:sz w:val="32"/>
          <w:szCs w:val="32"/>
        </w:rPr>
        <w:t>国家能源局以可靠性为中心的电力设备检修策略研究第二批试点项目清单（共</w:t>
      </w:r>
      <w:r>
        <w:rPr>
          <w:rFonts w:ascii="方正小标宋_GBK" w:hAnsi="方正小标宋简体" w:eastAsia="方正小标宋_GBK" w:cs="Times New Roman"/>
          <w:sz w:val="32"/>
          <w:szCs w:val="32"/>
        </w:rPr>
        <w:t>2</w:t>
      </w:r>
      <w:r>
        <w:rPr>
          <w:rFonts w:hint="eastAsia" w:ascii="方正小标宋_GBK" w:hAnsi="方正小标宋简体" w:eastAsia="方正小标宋_GBK" w:cs="Times New Roman"/>
          <w:sz w:val="32"/>
          <w:szCs w:val="32"/>
        </w:rPr>
        <w:t>0项）</w:t>
      </w:r>
    </w:p>
    <w:tbl>
      <w:tblPr>
        <w:tblStyle w:val="11"/>
        <w:tblW w:w="498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861"/>
        <w:gridCol w:w="866"/>
        <w:gridCol w:w="3273"/>
        <w:gridCol w:w="3795"/>
        <w:gridCol w:w="4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680" w:hRule="atLeast"/>
          <w:tblHeader/>
          <w:jc w:val="center"/>
        </w:trPr>
        <w:tc>
          <w:tcPr>
            <w:tcW w:w="333" w:type="pct"/>
            <w:shd w:val="clear" w:color="auto" w:fill="FFFFFF" w:themeFill="background1"/>
            <w:noWrap/>
            <w:vAlign w:val="center"/>
          </w:tcPr>
          <w:p>
            <w:pPr>
              <w:adjustRightInd w:val="0"/>
              <w:snapToGrid w:val="0"/>
              <w:jc w:val="center"/>
              <w:rPr>
                <w:rFonts w:ascii="黑体" w:hAnsi="黑体" w:eastAsia="黑体"/>
                <w:sz w:val="28"/>
                <w:szCs w:val="28"/>
              </w:rPr>
            </w:pPr>
            <w:r>
              <w:rPr>
                <w:rFonts w:hint="eastAsia" w:ascii="黑体" w:hAnsi="黑体" w:eastAsia="黑体"/>
                <w:sz w:val="28"/>
                <w:szCs w:val="28"/>
              </w:rPr>
              <w:t>领域</w:t>
            </w:r>
          </w:p>
        </w:tc>
        <w:tc>
          <w:tcPr>
            <w:tcW w:w="335" w:type="pct"/>
            <w:shd w:val="clear" w:color="auto" w:fill="FFFFFF" w:themeFill="background1"/>
            <w:noWrap/>
            <w:vAlign w:val="center"/>
          </w:tcPr>
          <w:p>
            <w:pPr>
              <w:adjustRightInd w:val="0"/>
              <w:snapToGrid w:val="0"/>
              <w:jc w:val="center"/>
              <w:rPr>
                <w:rFonts w:ascii="黑体" w:hAnsi="黑体" w:eastAsia="黑体"/>
                <w:sz w:val="28"/>
                <w:szCs w:val="28"/>
              </w:rPr>
            </w:pPr>
            <w:r>
              <w:rPr>
                <w:rFonts w:hint="eastAsia" w:ascii="黑体" w:hAnsi="黑体" w:eastAsia="黑体"/>
                <w:sz w:val="28"/>
                <w:szCs w:val="28"/>
              </w:rPr>
              <w:t>序号</w:t>
            </w:r>
          </w:p>
        </w:tc>
        <w:tc>
          <w:tcPr>
            <w:tcW w:w="1266" w:type="pct"/>
            <w:shd w:val="clear" w:color="auto" w:fill="FFFFFF" w:themeFill="background1"/>
            <w:noWrap/>
            <w:vAlign w:val="center"/>
          </w:tcPr>
          <w:p>
            <w:pPr>
              <w:adjustRightInd w:val="0"/>
              <w:snapToGrid w:val="0"/>
              <w:jc w:val="center"/>
              <w:rPr>
                <w:rFonts w:ascii="黑体" w:hAnsi="黑体" w:eastAsia="黑体"/>
                <w:sz w:val="28"/>
                <w:szCs w:val="28"/>
              </w:rPr>
            </w:pPr>
            <w:r>
              <w:rPr>
                <w:rFonts w:hint="eastAsia" w:ascii="黑体" w:hAnsi="黑体" w:eastAsia="黑体"/>
                <w:sz w:val="28"/>
                <w:szCs w:val="28"/>
              </w:rPr>
              <w:t>项目名称</w:t>
            </w:r>
          </w:p>
        </w:tc>
        <w:tc>
          <w:tcPr>
            <w:tcW w:w="1468" w:type="pct"/>
            <w:shd w:val="clear" w:color="auto" w:fill="FFFFFF" w:themeFill="background1"/>
            <w:noWrap/>
            <w:vAlign w:val="center"/>
          </w:tcPr>
          <w:p>
            <w:pPr>
              <w:adjustRightInd w:val="0"/>
              <w:snapToGrid w:val="0"/>
              <w:jc w:val="center"/>
              <w:rPr>
                <w:rFonts w:ascii="黑体" w:hAnsi="黑体" w:eastAsia="黑体"/>
                <w:sz w:val="28"/>
                <w:szCs w:val="28"/>
              </w:rPr>
            </w:pPr>
            <w:r>
              <w:rPr>
                <w:rFonts w:hint="eastAsia" w:ascii="黑体" w:hAnsi="黑体" w:eastAsia="黑体"/>
                <w:sz w:val="28"/>
                <w:szCs w:val="28"/>
              </w:rPr>
              <w:t>牵头单位</w:t>
            </w:r>
          </w:p>
        </w:tc>
        <w:tc>
          <w:tcPr>
            <w:tcW w:w="1598" w:type="pct"/>
            <w:shd w:val="clear" w:color="auto" w:fill="FFFFFF" w:themeFill="background1"/>
            <w:vAlign w:val="center"/>
          </w:tcPr>
          <w:p>
            <w:pPr>
              <w:adjustRightInd w:val="0"/>
              <w:snapToGrid w:val="0"/>
              <w:jc w:val="center"/>
              <w:rPr>
                <w:rFonts w:ascii="黑体" w:hAnsi="黑体" w:eastAsia="黑体"/>
                <w:sz w:val="28"/>
                <w:szCs w:val="28"/>
              </w:rPr>
            </w:pPr>
            <w:r>
              <w:rPr>
                <w:rFonts w:hint="eastAsia" w:ascii="黑体" w:hAnsi="黑体" w:eastAsia="黑体"/>
                <w:sz w:val="28"/>
                <w:szCs w:val="28"/>
              </w:rPr>
              <w:t>协作单位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680" w:hRule="atLeast"/>
          <w:jc w:val="center"/>
        </w:trPr>
        <w:tc>
          <w:tcPr>
            <w:tcW w:w="333" w:type="pct"/>
            <w:vMerge w:val="restart"/>
            <w:shd w:val="clear" w:color="auto" w:fill="FFFFFF" w:themeFill="background1"/>
            <w:noWrap/>
            <w:vAlign w:val="center"/>
          </w:tcPr>
          <w:p>
            <w:pPr>
              <w:adjustRightInd w:val="0"/>
              <w:snapToGrid w:val="0"/>
              <w:jc w:val="center"/>
              <w:rPr>
                <w:rFonts w:ascii="黑体" w:hAnsi="黑体" w:eastAsia="黑体"/>
                <w:sz w:val="28"/>
                <w:szCs w:val="28"/>
              </w:rPr>
            </w:pPr>
            <w:r>
              <w:rPr>
                <w:rFonts w:hint="eastAsia" w:ascii="黑体" w:hAnsi="黑体" w:eastAsia="黑体"/>
                <w:sz w:val="28"/>
                <w:szCs w:val="28"/>
              </w:rPr>
              <w:t>发电专业</w:t>
            </w:r>
          </w:p>
        </w:tc>
        <w:tc>
          <w:tcPr>
            <w:tcW w:w="335" w:type="pct"/>
            <w:shd w:val="clear" w:color="auto" w:fill="FFFFFF" w:themeFill="background1"/>
            <w:noWrap/>
            <w:vAlign w:val="center"/>
          </w:tcPr>
          <w:p>
            <w:pPr>
              <w:adjustRightInd w:val="0"/>
              <w:snapToGrid w:val="0"/>
              <w:jc w:val="center"/>
              <w:rPr>
                <w:rFonts w:ascii="宋体" w:hAnsi="宋体" w:eastAsia="宋体"/>
                <w:szCs w:val="21"/>
              </w:rPr>
            </w:pPr>
            <w:r>
              <w:rPr>
                <w:rFonts w:ascii="宋体" w:hAnsi="宋体" w:eastAsia="宋体"/>
                <w:szCs w:val="21"/>
              </w:rPr>
              <w:t>1</w:t>
            </w:r>
          </w:p>
        </w:tc>
        <w:tc>
          <w:tcPr>
            <w:tcW w:w="1266" w:type="pct"/>
            <w:shd w:val="clear" w:color="auto" w:fill="FFFFFF" w:themeFill="background1"/>
            <w:noWrap/>
            <w:vAlign w:val="center"/>
          </w:tcPr>
          <w:p>
            <w:pPr>
              <w:adjustRightInd w:val="0"/>
              <w:snapToGrid w:val="0"/>
              <w:jc w:val="center"/>
              <w:rPr>
                <w:rFonts w:ascii="宋体" w:hAnsi="宋体" w:eastAsia="宋体"/>
                <w:szCs w:val="21"/>
              </w:rPr>
            </w:pPr>
            <w:r>
              <w:rPr>
                <w:rFonts w:hint="eastAsia" w:ascii="宋体" w:hAnsi="宋体" w:eastAsia="宋体"/>
                <w:szCs w:val="21"/>
              </w:rPr>
              <w:t>基于</w:t>
            </w:r>
            <w:r>
              <w:rPr>
                <w:rFonts w:ascii="宋体" w:hAnsi="宋体" w:eastAsia="宋体"/>
                <w:szCs w:val="21"/>
              </w:rPr>
              <w:t>RCM理论的设备全寿命周期管理关键技术研究与试点应用</w:t>
            </w:r>
          </w:p>
        </w:tc>
        <w:tc>
          <w:tcPr>
            <w:tcW w:w="1468" w:type="pct"/>
            <w:shd w:val="clear" w:color="auto" w:fill="FFFFFF" w:themeFill="background1"/>
            <w:noWrap/>
            <w:vAlign w:val="center"/>
          </w:tcPr>
          <w:p>
            <w:pPr>
              <w:adjustRightInd w:val="0"/>
              <w:snapToGrid w:val="0"/>
              <w:jc w:val="center"/>
              <w:rPr>
                <w:rFonts w:ascii="宋体" w:hAnsi="宋体" w:eastAsia="宋体"/>
                <w:szCs w:val="21"/>
              </w:rPr>
            </w:pPr>
            <w:r>
              <w:rPr>
                <w:rFonts w:hint="eastAsia" w:ascii="宋体" w:hAnsi="宋体" w:eastAsia="宋体"/>
                <w:szCs w:val="21"/>
              </w:rPr>
              <w:t>中国华能集团有限公司</w:t>
            </w:r>
          </w:p>
        </w:tc>
        <w:tc>
          <w:tcPr>
            <w:tcW w:w="1598" w:type="pct"/>
            <w:shd w:val="clear" w:color="auto" w:fill="FFFFFF" w:themeFill="background1"/>
            <w:vAlign w:val="center"/>
          </w:tcPr>
          <w:p>
            <w:pPr>
              <w:adjustRightInd w:val="0"/>
              <w:snapToGrid w:val="0"/>
              <w:jc w:val="center"/>
              <w:rPr>
                <w:rFonts w:ascii="宋体" w:hAnsi="宋体" w:eastAsia="宋体"/>
                <w:szCs w:val="21"/>
              </w:rPr>
            </w:pPr>
            <w:r>
              <w:rPr>
                <w:rFonts w:hint="eastAsia" w:ascii="宋体" w:hAnsi="宋体" w:eastAsia="宋体"/>
                <w:szCs w:val="21"/>
              </w:rPr>
              <w:t>中国华能集团清洁能源技术研究院</w:t>
            </w:r>
          </w:p>
          <w:p>
            <w:pPr>
              <w:adjustRightInd w:val="0"/>
              <w:snapToGrid w:val="0"/>
              <w:jc w:val="center"/>
              <w:rPr>
                <w:rFonts w:ascii="宋体" w:hAnsi="宋体" w:eastAsia="宋体"/>
                <w:szCs w:val="21"/>
              </w:rPr>
            </w:pPr>
            <w:r>
              <w:rPr>
                <w:rFonts w:hint="eastAsia" w:ascii="宋体" w:hAnsi="宋体" w:eastAsia="宋体"/>
                <w:szCs w:val="21"/>
              </w:rPr>
              <w:t>东方电气集团东方锅炉股份有限公司</w:t>
            </w:r>
          </w:p>
          <w:p>
            <w:pPr>
              <w:adjustRightInd w:val="0"/>
              <w:snapToGrid w:val="0"/>
              <w:jc w:val="center"/>
              <w:rPr>
                <w:rFonts w:ascii="宋体" w:hAnsi="宋体" w:eastAsia="宋体"/>
                <w:szCs w:val="21"/>
              </w:rPr>
            </w:pPr>
            <w:r>
              <w:rPr>
                <w:rFonts w:hint="eastAsia" w:ascii="宋体" w:hAnsi="宋体" w:eastAsia="宋体"/>
                <w:szCs w:val="21"/>
              </w:rPr>
              <w:t>哈电发电设备国家工程研究中心有限公司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680" w:hRule="atLeast"/>
          <w:jc w:val="center"/>
        </w:trPr>
        <w:tc>
          <w:tcPr>
            <w:tcW w:w="333" w:type="pct"/>
            <w:vMerge w:val="continue"/>
            <w:shd w:val="clear" w:color="auto" w:fill="FFFFFF" w:themeFill="background1"/>
            <w:vAlign w:val="center"/>
          </w:tcPr>
          <w:p>
            <w:pPr>
              <w:adjustRightInd w:val="0"/>
              <w:snapToGrid w:val="0"/>
              <w:jc w:val="center"/>
              <w:rPr>
                <w:rFonts w:ascii="黑体" w:hAnsi="黑体" w:eastAsia="黑体"/>
                <w:sz w:val="28"/>
                <w:szCs w:val="28"/>
              </w:rPr>
            </w:pPr>
          </w:p>
        </w:tc>
        <w:tc>
          <w:tcPr>
            <w:tcW w:w="335" w:type="pct"/>
            <w:shd w:val="clear" w:color="auto" w:fill="FFFFFF" w:themeFill="background1"/>
            <w:noWrap/>
            <w:vAlign w:val="center"/>
          </w:tcPr>
          <w:p>
            <w:pPr>
              <w:adjustRightInd w:val="0"/>
              <w:snapToGrid w:val="0"/>
              <w:jc w:val="center"/>
              <w:rPr>
                <w:rFonts w:ascii="宋体" w:hAnsi="宋体" w:eastAsia="宋体"/>
                <w:szCs w:val="21"/>
              </w:rPr>
            </w:pPr>
            <w:r>
              <w:rPr>
                <w:rFonts w:ascii="宋体" w:hAnsi="宋体" w:eastAsia="宋体"/>
                <w:szCs w:val="21"/>
              </w:rPr>
              <w:t>2</w:t>
            </w:r>
          </w:p>
        </w:tc>
        <w:tc>
          <w:tcPr>
            <w:tcW w:w="1266" w:type="pct"/>
            <w:shd w:val="clear" w:color="auto" w:fill="FFFFFF" w:themeFill="background1"/>
            <w:noWrap/>
            <w:vAlign w:val="center"/>
          </w:tcPr>
          <w:p>
            <w:pPr>
              <w:adjustRightInd w:val="0"/>
              <w:snapToGrid w:val="0"/>
              <w:jc w:val="center"/>
              <w:rPr>
                <w:rFonts w:ascii="宋体" w:hAnsi="宋体" w:eastAsia="宋体"/>
                <w:szCs w:val="21"/>
              </w:rPr>
            </w:pPr>
            <w:r>
              <w:rPr>
                <w:rFonts w:hint="eastAsia" w:ascii="宋体" w:hAnsi="宋体" w:eastAsia="宋体"/>
                <w:szCs w:val="21"/>
              </w:rPr>
              <w:t>以可靠性为中心的设备维修管理数字化系统研究及应用</w:t>
            </w:r>
          </w:p>
        </w:tc>
        <w:tc>
          <w:tcPr>
            <w:tcW w:w="1468" w:type="pct"/>
            <w:shd w:val="clear" w:color="auto" w:fill="FFFFFF" w:themeFill="background1"/>
            <w:noWrap/>
            <w:vAlign w:val="center"/>
          </w:tcPr>
          <w:p>
            <w:pPr>
              <w:widowControl/>
              <w:adjustRightInd w:val="0"/>
              <w:snapToGrid w:val="0"/>
              <w:jc w:val="center"/>
              <w:rPr>
                <w:rFonts w:ascii="宋体" w:hAnsi="宋体" w:eastAsia="宋体"/>
                <w:szCs w:val="21"/>
              </w:rPr>
            </w:pPr>
            <w:r>
              <w:rPr>
                <w:rFonts w:hint="eastAsia" w:ascii="宋体" w:hAnsi="宋体" w:eastAsia="宋体"/>
                <w:szCs w:val="21"/>
              </w:rPr>
              <w:t>大唐阳城国际发电有限公司</w:t>
            </w:r>
          </w:p>
        </w:tc>
        <w:tc>
          <w:tcPr>
            <w:tcW w:w="1598" w:type="pct"/>
            <w:shd w:val="clear" w:color="auto" w:fill="FFFFFF" w:themeFill="background1"/>
            <w:vAlign w:val="center"/>
          </w:tcPr>
          <w:p>
            <w:pPr>
              <w:adjustRightInd w:val="0"/>
              <w:snapToGrid w:val="0"/>
              <w:jc w:val="center"/>
              <w:rPr>
                <w:rFonts w:ascii="宋体" w:hAnsi="宋体" w:eastAsia="宋体"/>
                <w:szCs w:val="21"/>
              </w:rPr>
            </w:pPr>
            <w:r>
              <w:rPr>
                <w:rFonts w:hint="eastAsia" w:ascii="宋体" w:hAnsi="宋体" w:eastAsia="宋体"/>
                <w:szCs w:val="21"/>
              </w:rPr>
              <w:t>浙江大唐乌沙山发电有限责任公司</w:t>
            </w:r>
          </w:p>
          <w:p>
            <w:pPr>
              <w:adjustRightInd w:val="0"/>
              <w:snapToGrid w:val="0"/>
              <w:jc w:val="center"/>
              <w:rPr>
                <w:rFonts w:ascii="宋体" w:hAnsi="宋体" w:eastAsia="宋体"/>
                <w:szCs w:val="21"/>
              </w:rPr>
            </w:pPr>
            <w:r>
              <w:rPr>
                <w:rFonts w:hint="eastAsia" w:ascii="宋体" w:hAnsi="宋体" w:eastAsia="宋体"/>
                <w:szCs w:val="21"/>
              </w:rPr>
              <w:t>四川大唐国际甘孜水电开发有限公司</w:t>
            </w:r>
          </w:p>
          <w:p>
            <w:pPr>
              <w:adjustRightInd w:val="0"/>
              <w:snapToGrid w:val="0"/>
              <w:jc w:val="center"/>
              <w:rPr>
                <w:rFonts w:ascii="宋体" w:hAnsi="宋体" w:eastAsia="宋体"/>
                <w:szCs w:val="21"/>
              </w:rPr>
            </w:pPr>
            <w:r>
              <w:rPr>
                <w:rFonts w:hint="eastAsia" w:ascii="宋体" w:hAnsi="宋体" w:eastAsia="宋体"/>
                <w:szCs w:val="21"/>
              </w:rPr>
              <w:t>重庆大唐国际武隆水电开发有限公司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680" w:hRule="atLeast"/>
          <w:jc w:val="center"/>
        </w:trPr>
        <w:tc>
          <w:tcPr>
            <w:tcW w:w="333" w:type="pct"/>
            <w:vMerge w:val="continue"/>
            <w:shd w:val="clear" w:color="auto" w:fill="FFFFFF" w:themeFill="background1"/>
            <w:vAlign w:val="center"/>
          </w:tcPr>
          <w:p>
            <w:pPr>
              <w:adjustRightInd w:val="0"/>
              <w:snapToGrid w:val="0"/>
              <w:jc w:val="center"/>
              <w:rPr>
                <w:rFonts w:ascii="黑体" w:hAnsi="黑体" w:eastAsia="黑体"/>
                <w:sz w:val="28"/>
                <w:szCs w:val="28"/>
              </w:rPr>
            </w:pPr>
          </w:p>
        </w:tc>
        <w:tc>
          <w:tcPr>
            <w:tcW w:w="335" w:type="pct"/>
            <w:shd w:val="clear" w:color="auto" w:fill="FFFFFF" w:themeFill="background1"/>
            <w:noWrap/>
            <w:vAlign w:val="center"/>
          </w:tcPr>
          <w:p>
            <w:pPr>
              <w:adjustRightInd w:val="0"/>
              <w:snapToGrid w:val="0"/>
              <w:jc w:val="center"/>
              <w:rPr>
                <w:rFonts w:ascii="宋体" w:hAnsi="宋体" w:eastAsia="宋体"/>
                <w:szCs w:val="21"/>
              </w:rPr>
            </w:pPr>
            <w:r>
              <w:rPr>
                <w:rFonts w:ascii="宋体" w:hAnsi="宋体" w:eastAsia="宋体"/>
                <w:szCs w:val="21"/>
              </w:rPr>
              <w:t>3</w:t>
            </w:r>
          </w:p>
        </w:tc>
        <w:tc>
          <w:tcPr>
            <w:tcW w:w="1266" w:type="pct"/>
            <w:shd w:val="clear" w:color="auto" w:fill="FFFFFF" w:themeFill="background1"/>
            <w:noWrap/>
            <w:vAlign w:val="center"/>
          </w:tcPr>
          <w:p>
            <w:pPr>
              <w:adjustRightInd w:val="0"/>
              <w:snapToGrid w:val="0"/>
              <w:jc w:val="center"/>
              <w:rPr>
                <w:rFonts w:ascii="宋体" w:hAnsi="宋体" w:eastAsia="宋体"/>
                <w:szCs w:val="21"/>
              </w:rPr>
            </w:pPr>
            <w:r>
              <w:rPr>
                <w:rFonts w:hint="eastAsia" w:ascii="宋体" w:hAnsi="宋体" w:eastAsia="宋体"/>
                <w:szCs w:val="21"/>
              </w:rPr>
              <w:t>基于</w:t>
            </w:r>
            <w:r>
              <w:rPr>
                <w:rFonts w:ascii="宋体" w:hAnsi="宋体" w:eastAsia="宋体"/>
                <w:szCs w:val="21"/>
              </w:rPr>
              <w:t>RCM的混流式水轮发电机组全周期寿命管理</w:t>
            </w:r>
          </w:p>
        </w:tc>
        <w:tc>
          <w:tcPr>
            <w:tcW w:w="1468" w:type="pct"/>
            <w:shd w:val="clear" w:color="auto" w:fill="FFFFFF" w:themeFill="background1"/>
            <w:noWrap/>
            <w:vAlign w:val="center"/>
          </w:tcPr>
          <w:p>
            <w:pPr>
              <w:widowControl/>
              <w:adjustRightInd w:val="0"/>
              <w:snapToGrid w:val="0"/>
              <w:jc w:val="center"/>
              <w:rPr>
                <w:rFonts w:ascii="宋体" w:hAnsi="宋体" w:eastAsia="宋体"/>
                <w:szCs w:val="21"/>
              </w:rPr>
            </w:pPr>
            <w:r>
              <w:rPr>
                <w:rFonts w:hint="eastAsia" w:ascii="宋体" w:hAnsi="宋体" w:eastAsia="宋体"/>
                <w:szCs w:val="21"/>
              </w:rPr>
              <w:t>大唐龙滩水电开发有限公司龙滩水力发电厂</w:t>
            </w:r>
          </w:p>
        </w:tc>
        <w:tc>
          <w:tcPr>
            <w:tcW w:w="1598" w:type="pct"/>
            <w:shd w:val="clear" w:color="auto" w:fill="FFFFFF" w:themeFill="background1"/>
            <w:vAlign w:val="center"/>
          </w:tcPr>
          <w:p>
            <w:pPr>
              <w:adjustRightInd w:val="0"/>
              <w:snapToGrid w:val="0"/>
              <w:jc w:val="center"/>
              <w:rPr>
                <w:rFonts w:ascii="宋体" w:hAnsi="宋体" w:eastAsia="宋体"/>
                <w:szCs w:val="21"/>
              </w:rPr>
            </w:pPr>
            <w:r>
              <w:rPr>
                <w:rFonts w:hint="eastAsia" w:ascii="宋体" w:hAnsi="宋体" w:eastAsia="宋体"/>
                <w:szCs w:val="21"/>
              </w:rPr>
              <w:t>大唐观音岩水电开发有限公司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680" w:hRule="atLeast"/>
          <w:jc w:val="center"/>
        </w:trPr>
        <w:tc>
          <w:tcPr>
            <w:tcW w:w="333" w:type="pct"/>
            <w:vMerge w:val="continue"/>
            <w:shd w:val="clear" w:color="auto" w:fill="FFFFFF" w:themeFill="background1"/>
            <w:vAlign w:val="center"/>
          </w:tcPr>
          <w:p>
            <w:pPr>
              <w:adjustRightInd w:val="0"/>
              <w:snapToGrid w:val="0"/>
              <w:jc w:val="center"/>
              <w:rPr>
                <w:rFonts w:ascii="黑体" w:hAnsi="黑体" w:eastAsia="黑体"/>
                <w:sz w:val="28"/>
                <w:szCs w:val="28"/>
              </w:rPr>
            </w:pPr>
          </w:p>
        </w:tc>
        <w:tc>
          <w:tcPr>
            <w:tcW w:w="335" w:type="pct"/>
            <w:shd w:val="clear" w:color="auto" w:fill="FFFFFF" w:themeFill="background1"/>
            <w:noWrap/>
            <w:vAlign w:val="center"/>
          </w:tcPr>
          <w:p>
            <w:pPr>
              <w:adjustRightInd w:val="0"/>
              <w:snapToGrid w:val="0"/>
              <w:jc w:val="center"/>
              <w:rPr>
                <w:rFonts w:ascii="宋体" w:hAnsi="宋体" w:eastAsia="宋体"/>
                <w:szCs w:val="21"/>
              </w:rPr>
            </w:pPr>
            <w:r>
              <w:rPr>
                <w:rFonts w:ascii="宋体" w:hAnsi="宋体" w:eastAsia="宋体"/>
                <w:szCs w:val="21"/>
              </w:rPr>
              <w:t>4</w:t>
            </w:r>
          </w:p>
        </w:tc>
        <w:tc>
          <w:tcPr>
            <w:tcW w:w="1266" w:type="pct"/>
            <w:shd w:val="clear" w:color="auto" w:fill="FFFFFF" w:themeFill="background1"/>
            <w:noWrap/>
            <w:vAlign w:val="center"/>
          </w:tcPr>
          <w:p>
            <w:pPr>
              <w:adjustRightInd w:val="0"/>
              <w:snapToGrid w:val="0"/>
              <w:jc w:val="center"/>
              <w:rPr>
                <w:rFonts w:ascii="宋体" w:hAnsi="宋体" w:eastAsia="宋体"/>
                <w:szCs w:val="21"/>
              </w:rPr>
            </w:pPr>
            <w:r>
              <w:rPr>
                <w:rFonts w:hint="eastAsia" w:ascii="宋体" w:hAnsi="宋体" w:eastAsia="宋体"/>
                <w:szCs w:val="21"/>
              </w:rPr>
              <w:t>基于</w:t>
            </w:r>
            <w:r>
              <w:rPr>
                <w:rFonts w:ascii="宋体" w:hAnsi="宋体" w:eastAsia="宋体"/>
                <w:szCs w:val="21"/>
              </w:rPr>
              <w:t>RCM的火电厂检修策略研究</w:t>
            </w:r>
          </w:p>
        </w:tc>
        <w:tc>
          <w:tcPr>
            <w:tcW w:w="1468" w:type="pct"/>
            <w:shd w:val="clear" w:color="auto" w:fill="FFFFFF" w:themeFill="background1"/>
            <w:noWrap/>
            <w:vAlign w:val="center"/>
          </w:tcPr>
          <w:p>
            <w:pPr>
              <w:adjustRightInd w:val="0"/>
              <w:snapToGrid w:val="0"/>
              <w:jc w:val="center"/>
              <w:rPr>
                <w:rFonts w:ascii="宋体" w:hAnsi="宋体" w:eastAsia="宋体"/>
                <w:szCs w:val="21"/>
              </w:rPr>
            </w:pPr>
            <w:r>
              <w:rPr>
                <w:rFonts w:hint="eastAsia" w:ascii="宋体" w:hAnsi="宋体" w:eastAsia="宋体"/>
                <w:szCs w:val="21"/>
              </w:rPr>
              <w:t>大唐三门峡发电责任有限公司</w:t>
            </w:r>
          </w:p>
        </w:tc>
        <w:tc>
          <w:tcPr>
            <w:tcW w:w="1598" w:type="pct"/>
            <w:shd w:val="clear" w:color="auto" w:fill="FFFFFF" w:themeFill="background1"/>
            <w:vAlign w:val="center"/>
          </w:tcPr>
          <w:p>
            <w:pPr>
              <w:adjustRightInd w:val="0"/>
              <w:snapToGrid w:val="0"/>
              <w:jc w:val="center"/>
              <w:rPr>
                <w:rFonts w:ascii="宋体" w:hAnsi="宋体" w:eastAsia="宋体"/>
                <w:szCs w:val="21"/>
              </w:rPr>
            </w:pPr>
            <w:r>
              <w:rPr>
                <w:rFonts w:hint="eastAsia" w:ascii="宋体" w:hAnsi="宋体" w:eastAsia="宋体"/>
                <w:szCs w:val="21"/>
              </w:rPr>
              <w:t>河北大唐国际张家口热电有限责任公司</w:t>
            </w:r>
          </w:p>
          <w:p>
            <w:pPr>
              <w:adjustRightInd w:val="0"/>
              <w:snapToGrid w:val="0"/>
              <w:jc w:val="center"/>
              <w:rPr>
                <w:rFonts w:ascii="宋体" w:hAnsi="宋体" w:eastAsia="宋体"/>
                <w:szCs w:val="21"/>
              </w:rPr>
            </w:pPr>
            <w:r>
              <w:rPr>
                <w:rFonts w:hint="eastAsia" w:ascii="宋体" w:hAnsi="宋体" w:eastAsia="宋体"/>
                <w:szCs w:val="21"/>
              </w:rPr>
              <w:t>江苏大唐国际金坛热电有限责任公司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680" w:hRule="atLeast"/>
          <w:jc w:val="center"/>
        </w:trPr>
        <w:tc>
          <w:tcPr>
            <w:tcW w:w="333" w:type="pct"/>
            <w:vMerge w:val="continue"/>
            <w:shd w:val="clear" w:color="auto" w:fill="FFFFFF" w:themeFill="background1"/>
            <w:vAlign w:val="center"/>
          </w:tcPr>
          <w:p>
            <w:pPr>
              <w:adjustRightInd w:val="0"/>
              <w:snapToGrid w:val="0"/>
              <w:jc w:val="center"/>
              <w:rPr>
                <w:rFonts w:ascii="黑体" w:hAnsi="黑体" w:eastAsia="黑体"/>
                <w:sz w:val="28"/>
                <w:szCs w:val="28"/>
              </w:rPr>
            </w:pPr>
          </w:p>
        </w:tc>
        <w:tc>
          <w:tcPr>
            <w:tcW w:w="335" w:type="pct"/>
            <w:shd w:val="clear" w:color="auto" w:fill="FFFFFF" w:themeFill="background1"/>
            <w:noWrap/>
            <w:vAlign w:val="center"/>
          </w:tcPr>
          <w:p>
            <w:pPr>
              <w:adjustRightInd w:val="0"/>
              <w:snapToGrid w:val="0"/>
              <w:jc w:val="center"/>
              <w:rPr>
                <w:rFonts w:ascii="宋体" w:hAnsi="宋体" w:eastAsia="宋体"/>
                <w:szCs w:val="21"/>
              </w:rPr>
            </w:pPr>
            <w:r>
              <w:rPr>
                <w:rFonts w:ascii="宋体" w:hAnsi="宋体" w:eastAsia="宋体"/>
                <w:szCs w:val="21"/>
              </w:rPr>
              <w:t>5</w:t>
            </w:r>
          </w:p>
        </w:tc>
        <w:tc>
          <w:tcPr>
            <w:tcW w:w="1266" w:type="pct"/>
            <w:shd w:val="clear" w:color="auto" w:fill="FFFFFF" w:themeFill="background1"/>
            <w:noWrap/>
            <w:vAlign w:val="center"/>
          </w:tcPr>
          <w:p>
            <w:pPr>
              <w:adjustRightInd w:val="0"/>
              <w:snapToGrid w:val="0"/>
              <w:jc w:val="center"/>
              <w:rPr>
                <w:rFonts w:ascii="宋体" w:hAnsi="宋体" w:eastAsia="宋体"/>
                <w:szCs w:val="21"/>
              </w:rPr>
            </w:pPr>
            <w:r>
              <w:rPr>
                <w:rFonts w:hint="eastAsia" w:ascii="宋体" w:hAnsi="宋体" w:eastAsia="宋体"/>
                <w:szCs w:val="21"/>
              </w:rPr>
              <w:t>燃煤电厂主机设备状态检修研究试点项目</w:t>
            </w:r>
          </w:p>
        </w:tc>
        <w:tc>
          <w:tcPr>
            <w:tcW w:w="1468" w:type="pct"/>
            <w:shd w:val="clear" w:color="auto" w:fill="FFFFFF" w:themeFill="background1"/>
            <w:noWrap/>
            <w:vAlign w:val="center"/>
          </w:tcPr>
          <w:p>
            <w:pPr>
              <w:adjustRightInd w:val="0"/>
              <w:snapToGrid w:val="0"/>
              <w:jc w:val="center"/>
              <w:rPr>
                <w:rFonts w:ascii="宋体" w:hAnsi="宋体" w:eastAsia="宋体"/>
                <w:szCs w:val="21"/>
              </w:rPr>
            </w:pPr>
            <w:r>
              <w:rPr>
                <w:rFonts w:hint="eastAsia" w:ascii="宋体" w:hAnsi="宋体" w:eastAsia="宋体"/>
                <w:szCs w:val="21"/>
              </w:rPr>
              <w:t>华电莱州发电有限公司</w:t>
            </w:r>
          </w:p>
        </w:tc>
        <w:tc>
          <w:tcPr>
            <w:tcW w:w="1598" w:type="pct"/>
            <w:shd w:val="clear" w:color="auto" w:fill="FFFFFF" w:themeFill="background1"/>
            <w:vAlign w:val="center"/>
          </w:tcPr>
          <w:p>
            <w:pPr>
              <w:adjustRightInd w:val="0"/>
              <w:snapToGrid w:val="0"/>
              <w:jc w:val="center"/>
              <w:rPr>
                <w:rFonts w:ascii="宋体" w:hAnsi="宋体" w:eastAsia="宋体"/>
                <w:szCs w:val="21"/>
              </w:rPr>
            </w:pPr>
            <w:r>
              <w:rPr>
                <w:rFonts w:hint="eastAsia" w:ascii="宋体" w:hAnsi="宋体" w:eastAsia="宋体"/>
                <w:szCs w:val="21"/>
              </w:rPr>
              <w:t>东方电气研究院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680" w:hRule="atLeast"/>
          <w:jc w:val="center"/>
        </w:trPr>
        <w:tc>
          <w:tcPr>
            <w:tcW w:w="333" w:type="pct"/>
            <w:vMerge w:val="continue"/>
            <w:shd w:val="clear" w:color="auto" w:fill="FFFFFF" w:themeFill="background1"/>
            <w:vAlign w:val="center"/>
          </w:tcPr>
          <w:p>
            <w:pPr>
              <w:adjustRightInd w:val="0"/>
              <w:snapToGrid w:val="0"/>
              <w:jc w:val="center"/>
              <w:rPr>
                <w:rFonts w:ascii="黑体" w:hAnsi="黑体" w:eastAsia="黑体"/>
                <w:sz w:val="28"/>
                <w:szCs w:val="28"/>
              </w:rPr>
            </w:pPr>
          </w:p>
        </w:tc>
        <w:tc>
          <w:tcPr>
            <w:tcW w:w="335" w:type="pct"/>
            <w:tcBorders>
              <w:bottom w:val="single" w:color="auto" w:sz="4" w:space="0"/>
            </w:tcBorders>
            <w:shd w:val="clear" w:color="auto" w:fill="FFFFFF" w:themeFill="background1"/>
            <w:noWrap/>
            <w:vAlign w:val="center"/>
          </w:tcPr>
          <w:p>
            <w:pPr>
              <w:adjustRightInd w:val="0"/>
              <w:snapToGrid w:val="0"/>
              <w:jc w:val="center"/>
              <w:rPr>
                <w:rFonts w:ascii="宋体" w:hAnsi="宋体" w:eastAsia="宋体"/>
                <w:szCs w:val="21"/>
              </w:rPr>
            </w:pPr>
            <w:r>
              <w:rPr>
                <w:rFonts w:ascii="宋体" w:hAnsi="宋体" w:eastAsia="宋体"/>
                <w:szCs w:val="21"/>
              </w:rPr>
              <w:t>6</w:t>
            </w:r>
          </w:p>
        </w:tc>
        <w:tc>
          <w:tcPr>
            <w:tcW w:w="1266" w:type="pct"/>
            <w:tcBorders>
              <w:bottom w:val="single" w:color="auto" w:sz="4" w:space="0"/>
            </w:tcBorders>
            <w:shd w:val="clear" w:color="auto" w:fill="FFFFFF" w:themeFill="background1"/>
            <w:noWrap/>
            <w:vAlign w:val="center"/>
          </w:tcPr>
          <w:p>
            <w:pPr>
              <w:adjustRightInd w:val="0"/>
              <w:snapToGrid w:val="0"/>
              <w:jc w:val="center"/>
              <w:rPr>
                <w:rFonts w:ascii="宋体" w:hAnsi="宋体" w:eastAsia="宋体"/>
                <w:szCs w:val="21"/>
              </w:rPr>
            </w:pPr>
            <w:r>
              <w:rPr>
                <w:rFonts w:hint="eastAsia" w:ascii="宋体" w:hAnsi="宋体" w:eastAsia="宋体"/>
                <w:szCs w:val="21"/>
              </w:rPr>
              <w:t>陆上风力发电机组RCM管理体系研究</w:t>
            </w:r>
          </w:p>
        </w:tc>
        <w:tc>
          <w:tcPr>
            <w:tcW w:w="1468" w:type="pct"/>
            <w:tcBorders>
              <w:bottom w:val="single" w:color="auto" w:sz="4" w:space="0"/>
            </w:tcBorders>
            <w:shd w:val="clear" w:color="auto" w:fill="FFFFFF" w:themeFill="background1"/>
            <w:noWrap/>
            <w:vAlign w:val="center"/>
          </w:tcPr>
          <w:p>
            <w:pPr>
              <w:adjustRightInd w:val="0"/>
              <w:snapToGrid w:val="0"/>
              <w:jc w:val="center"/>
              <w:rPr>
                <w:rFonts w:ascii="宋体" w:hAnsi="宋体" w:eastAsia="宋体"/>
                <w:szCs w:val="21"/>
              </w:rPr>
            </w:pPr>
            <w:r>
              <w:rPr>
                <w:rFonts w:hint="eastAsia" w:ascii="宋体" w:hAnsi="宋体" w:eastAsia="宋体"/>
                <w:szCs w:val="21"/>
              </w:rPr>
              <w:t>内蒙古华电辉腾锡勒风力发电有限公司</w:t>
            </w:r>
          </w:p>
        </w:tc>
        <w:tc>
          <w:tcPr>
            <w:tcW w:w="1598" w:type="pct"/>
            <w:tcBorders>
              <w:bottom w:val="single" w:color="auto" w:sz="4" w:space="0"/>
            </w:tcBorders>
            <w:shd w:val="clear" w:color="auto" w:fill="FFFFFF" w:themeFill="background1"/>
            <w:vAlign w:val="center"/>
          </w:tcPr>
          <w:p>
            <w:pPr>
              <w:adjustRightInd w:val="0"/>
              <w:snapToGrid w:val="0"/>
              <w:jc w:val="center"/>
              <w:rPr>
                <w:rFonts w:ascii="宋体" w:hAnsi="宋体" w:eastAsia="宋体"/>
                <w:szCs w:val="21"/>
              </w:rPr>
            </w:pPr>
            <w:r>
              <w:rPr>
                <w:rFonts w:hint="eastAsia" w:ascii="宋体" w:hAnsi="宋体" w:eastAsia="宋体"/>
                <w:szCs w:val="21"/>
              </w:rPr>
              <w:t>国电南京自动化股份有限公司</w:t>
            </w:r>
          </w:p>
          <w:p>
            <w:pPr>
              <w:adjustRightInd w:val="0"/>
              <w:snapToGrid w:val="0"/>
              <w:jc w:val="center"/>
              <w:rPr>
                <w:rFonts w:ascii="宋体" w:hAnsi="宋体" w:eastAsia="宋体"/>
                <w:szCs w:val="21"/>
              </w:rPr>
            </w:pPr>
            <w:r>
              <w:rPr>
                <w:rFonts w:hint="eastAsia" w:ascii="宋体" w:hAnsi="宋体" w:eastAsia="宋体"/>
                <w:szCs w:val="21"/>
              </w:rPr>
              <w:t>华电电力科学研究院有限公司</w:t>
            </w:r>
          </w:p>
          <w:p>
            <w:pPr>
              <w:adjustRightInd w:val="0"/>
              <w:snapToGrid w:val="0"/>
              <w:jc w:val="center"/>
              <w:rPr>
                <w:rFonts w:ascii="宋体" w:hAnsi="宋体" w:eastAsia="宋体"/>
                <w:szCs w:val="21"/>
              </w:rPr>
            </w:pPr>
            <w:r>
              <w:rPr>
                <w:rFonts w:hint="eastAsia" w:ascii="宋体" w:hAnsi="宋体" w:eastAsia="宋体"/>
                <w:szCs w:val="21"/>
              </w:rPr>
              <w:t>北京拾易技术有限公司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680" w:hRule="atLeast"/>
          <w:jc w:val="center"/>
        </w:trPr>
        <w:tc>
          <w:tcPr>
            <w:tcW w:w="333" w:type="pct"/>
            <w:vMerge w:val="continue"/>
            <w:shd w:val="clear" w:color="auto" w:fill="FFFFFF" w:themeFill="background1"/>
            <w:vAlign w:val="center"/>
          </w:tcPr>
          <w:p>
            <w:pPr>
              <w:adjustRightInd w:val="0"/>
              <w:snapToGrid w:val="0"/>
              <w:jc w:val="center"/>
              <w:rPr>
                <w:rFonts w:ascii="黑体" w:hAnsi="黑体" w:eastAsia="黑体"/>
                <w:sz w:val="28"/>
                <w:szCs w:val="28"/>
              </w:rPr>
            </w:pPr>
          </w:p>
        </w:tc>
        <w:tc>
          <w:tcPr>
            <w:tcW w:w="335" w:type="pct"/>
            <w:tcBorders>
              <w:bottom w:val="single" w:color="auto" w:sz="4" w:space="0"/>
            </w:tcBorders>
            <w:shd w:val="clear" w:color="auto" w:fill="FFFFFF" w:themeFill="background1"/>
            <w:noWrap/>
            <w:vAlign w:val="center"/>
          </w:tcPr>
          <w:p>
            <w:pPr>
              <w:adjustRightInd w:val="0"/>
              <w:snapToGrid w:val="0"/>
              <w:jc w:val="center"/>
              <w:rPr>
                <w:rFonts w:ascii="宋体" w:hAnsi="宋体" w:eastAsia="宋体"/>
                <w:szCs w:val="21"/>
              </w:rPr>
            </w:pPr>
            <w:r>
              <w:rPr>
                <w:rFonts w:ascii="宋体" w:hAnsi="宋体" w:eastAsia="宋体"/>
                <w:szCs w:val="21"/>
              </w:rPr>
              <w:t>7</w:t>
            </w:r>
          </w:p>
        </w:tc>
        <w:tc>
          <w:tcPr>
            <w:tcW w:w="1266" w:type="pct"/>
            <w:tcBorders>
              <w:bottom w:val="single" w:color="auto" w:sz="4" w:space="0"/>
            </w:tcBorders>
            <w:shd w:val="clear" w:color="auto" w:fill="FFFFFF" w:themeFill="background1"/>
            <w:noWrap/>
            <w:vAlign w:val="center"/>
          </w:tcPr>
          <w:p>
            <w:pPr>
              <w:adjustRightInd w:val="0"/>
              <w:snapToGrid w:val="0"/>
              <w:jc w:val="center"/>
              <w:rPr>
                <w:rFonts w:ascii="宋体" w:hAnsi="宋体" w:eastAsia="宋体"/>
                <w:szCs w:val="21"/>
              </w:rPr>
            </w:pPr>
            <w:r>
              <w:rPr>
                <w:rFonts w:hint="eastAsia" w:ascii="宋体" w:hAnsi="宋体" w:eastAsia="宋体"/>
                <w:szCs w:val="21"/>
              </w:rPr>
              <w:t>深化以可靠性为中心的大型水电机组运维检修策略研究及应用</w:t>
            </w:r>
          </w:p>
        </w:tc>
        <w:tc>
          <w:tcPr>
            <w:tcW w:w="1468" w:type="pct"/>
            <w:tcBorders>
              <w:bottom w:val="single" w:color="auto" w:sz="4" w:space="0"/>
            </w:tcBorders>
            <w:shd w:val="clear" w:color="auto" w:fill="FFFFFF" w:themeFill="background1"/>
            <w:noWrap/>
            <w:vAlign w:val="center"/>
          </w:tcPr>
          <w:p>
            <w:pPr>
              <w:adjustRightInd w:val="0"/>
              <w:snapToGrid w:val="0"/>
              <w:jc w:val="center"/>
              <w:rPr>
                <w:rFonts w:ascii="宋体" w:hAnsi="宋体" w:eastAsia="宋体"/>
                <w:szCs w:val="21"/>
              </w:rPr>
            </w:pPr>
            <w:r>
              <w:rPr>
                <w:rFonts w:hint="eastAsia" w:ascii="宋体" w:hAnsi="宋体" w:eastAsia="宋体"/>
                <w:szCs w:val="21"/>
              </w:rPr>
              <w:t>南方电网调峰调频发电有限公司检修试验分公司</w:t>
            </w:r>
          </w:p>
        </w:tc>
        <w:tc>
          <w:tcPr>
            <w:tcW w:w="1598" w:type="pct"/>
            <w:tcBorders>
              <w:bottom w:val="single" w:color="auto" w:sz="4" w:space="0"/>
            </w:tcBorders>
            <w:shd w:val="clear" w:color="auto" w:fill="FFFFFF" w:themeFill="background1"/>
            <w:vAlign w:val="center"/>
          </w:tcPr>
          <w:p>
            <w:pPr>
              <w:adjustRightInd w:val="0"/>
              <w:snapToGrid w:val="0"/>
              <w:jc w:val="center"/>
              <w:rPr>
                <w:rFonts w:ascii="宋体" w:hAnsi="宋体" w:eastAsia="宋体"/>
                <w:szCs w:val="21"/>
              </w:rPr>
            </w:pPr>
            <w:r>
              <w:rPr>
                <w:rFonts w:hint="eastAsia" w:ascii="宋体" w:hAnsi="宋体" w:eastAsia="宋体"/>
                <w:szCs w:val="21"/>
              </w:rPr>
              <w:t>南方电网海南蓄能发电有限公司</w:t>
            </w:r>
          </w:p>
          <w:p>
            <w:pPr>
              <w:adjustRightInd w:val="0"/>
              <w:snapToGrid w:val="0"/>
              <w:jc w:val="center"/>
              <w:rPr>
                <w:rFonts w:ascii="宋体" w:hAnsi="宋体" w:eastAsia="宋体"/>
                <w:szCs w:val="21"/>
              </w:rPr>
            </w:pPr>
            <w:r>
              <w:rPr>
                <w:rFonts w:hint="eastAsia" w:ascii="宋体" w:hAnsi="宋体" w:eastAsia="宋体"/>
                <w:szCs w:val="21"/>
              </w:rPr>
              <w:t>南方电网调峰调频发电有限公司西部检修试验分公司</w:t>
            </w:r>
          </w:p>
          <w:p>
            <w:pPr>
              <w:adjustRightInd w:val="0"/>
              <w:snapToGrid w:val="0"/>
              <w:jc w:val="center"/>
              <w:rPr>
                <w:rFonts w:ascii="宋体" w:hAnsi="宋体" w:eastAsia="宋体"/>
                <w:szCs w:val="21"/>
              </w:rPr>
            </w:pPr>
            <w:r>
              <w:rPr>
                <w:rFonts w:hint="eastAsia" w:ascii="宋体" w:hAnsi="宋体" w:eastAsia="宋体"/>
                <w:szCs w:val="21"/>
              </w:rPr>
              <w:t>南方电网调峰调频发电有限公司运行分公司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680" w:hRule="atLeast"/>
          <w:jc w:val="center"/>
        </w:trPr>
        <w:tc>
          <w:tcPr>
            <w:tcW w:w="333" w:type="pct"/>
            <w:vMerge w:val="continue"/>
            <w:shd w:val="clear" w:color="auto" w:fill="FFFFFF" w:themeFill="background1"/>
            <w:vAlign w:val="center"/>
          </w:tcPr>
          <w:p>
            <w:pPr>
              <w:adjustRightInd w:val="0"/>
              <w:snapToGrid w:val="0"/>
              <w:jc w:val="center"/>
              <w:rPr>
                <w:rFonts w:ascii="黑体" w:hAnsi="黑体" w:eastAsia="黑体"/>
                <w:sz w:val="28"/>
                <w:szCs w:val="28"/>
              </w:rPr>
            </w:pPr>
          </w:p>
        </w:tc>
        <w:tc>
          <w:tcPr>
            <w:tcW w:w="335" w:type="pct"/>
            <w:tcBorders>
              <w:bottom w:val="single" w:color="auto" w:sz="4" w:space="0"/>
            </w:tcBorders>
            <w:shd w:val="clear" w:color="auto" w:fill="FFFFFF" w:themeFill="background1"/>
            <w:noWrap/>
            <w:vAlign w:val="center"/>
          </w:tcPr>
          <w:p>
            <w:pPr>
              <w:adjustRightInd w:val="0"/>
              <w:snapToGrid w:val="0"/>
              <w:jc w:val="center"/>
              <w:rPr>
                <w:rFonts w:ascii="宋体" w:hAnsi="宋体" w:eastAsia="宋体"/>
                <w:szCs w:val="21"/>
              </w:rPr>
            </w:pPr>
            <w:r>
              <w:rPr>
                <w:rFonts w:ascii="宋体" w:hAnsi="宋体" w:eastAsia="宋体"/>
                <w:szCs w:val="21"/>
              </w:rPr>
              <w:t>8</w:t>
            </w:r>
          </w:p>
        </w:tc>
        <w:tc>
          <w:tcPr>
            <w:tcW w:w="1266" w:type="pct"/>
            <w:tcBorders>
              <w:bottom w:val="single" w:color="auto" w:sz="4" w:space="0"/>
            </w:tcBorders>
            <w:shd w:val="clear" w:color="auto" w:fill="FFFFFF" w:themeFill="background1"/>
            <w:noWrap/>
            <w:vAlign w:val="center"/>
          </w:tcPr>
          <w:p>
            <w:pPr>
              <w:adjustRightInd w:val="0"/>
              <w:snapToGrid w:val="0"/>
              <w:jc w:val="center"/>
              <w:rPr>
                <w:rFonts w:ascii="宋体" w:hAnsi="宋体" w:eastAsia="宋体"/>
                <w:szCs w:val="21"/>
              </w:rPr>
            </w:pPr>
            <w:r>
              <w:rPr>
                <w:rFonts w:hint="eastAsia" w:ascii="宋体" w:hAnsi="宋体" w:eastAsia="宋体"/>
                <w:szCs w:val="21"/>
              </w:rPr>
              <w:t>基于工业互联网平台的水电</w:t>
            </w:r>
            <w:r>
              <w:rPr>
                <w:rFonts w:ascii="宋体" w:hAnsi="宋体" w:eastAsia="宋体"/>
                <w:szCs w:val="21"/>
              </w:rPr>
              <w:t>RCM体系研究与实践</w:t>
            </w:r>
          </w:p>
        </w:tc>
        <w:tc>
          <w:tcPr>
            <w:tcW w:w="1468" w:type="pct"/>
            <w:tcBorders>
              <w:bottom w:val="single" w:color="auto" w:sz="4" w:space="0"/>
            </w:tcBorders>
            <w:shd w:val="clear" w:color="auto" w:fill="FFFFFF" w:themeFill="background1"/>
            <w:noWrap/>
            <w:vAlign w:val="center"/>
          </w:tcPr>
          <w:p>
            <w:pPr>
              <w:adjustRightInd w:val="0"/>
              <w:snapToGrid w:val="0"/>
              <w:jc w:val="center"/>
              <w:rPr>
                <w:rFonts w:ascii="宋体" w:hAnsi="宋体" w:eastAsia="宋体"/>
                <w:szCs w:val="21"/>
              </w:rPr>
            </w:pPr>
            <w:r>
              <w:rPr>
                <w:rFonts w:hint="eastAsia" w:ascii="宋体" w:hAnsi="宋体" w:eastAsia="宋体"/>
                <w:szCs w:val="21"/>
              </w:rPr>
              <w:t>中国长江电力股份有限公司</w:t>
            </w:r>
          </w:p>
        </w:tc>
        <w:tc>
          <w:tcPr>
            <w:tcW w:w="1598" w:type="pct"/>
            <w:tcBorders>
              <w:bottom w:val="single" w:color="auto" w:sz="4" w:space="0"/>
            </w:tcBorders>
            <w:shd w:val="clear" w:color="auto" w:fill="FFFFFF" w:themeFill="background1"/>
            <w:vAlign w:val="center"/>
          </w:tcPr>
          <w:p>
            <w:pPr>
              <w:adjustRightInd w:val="0"/>
              <w:snapToGrid w:val="0"/>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680" w:hRule="atLeast"/>
          <w:jc w:val="center"/>
        </w:trPr>
        <w:tc>
          <w:tcPr>
            <w:tcW w:w="333" w:type="pct"/>
            <w:vMerge w:val="continue"/>
            <w:shd w:val="clear" w:color="auto" w:fill="FFFFFF" w:themeFill="background1"/>
            <w:vAlign w:val="center"/>
          </w:tcPr>
          <w:p>
            <w:pPr>
              <w:adjustRightInd w:val="0"/>
              <w:snapToGrid w:val="0"/>
              <w:jc w:val="center"/>
              <w:rPr>
                <w:rFonts w:ascii="黑体" w:hAnsi="黑体" w:eastAsia="黑体"/>
                <w:sz w:val="28"/>
                <w:szCs w:val="28"/>
              </w:rPr>
            </w:pPr>
          </w:p>
        </w:tc>
        <w:tc>
          <w:tcPr>
            <w:tcW w:w="335" w:type="pct"/>
            <w:tcBorders>
              <w:bottom w:val="single" w:color="auto" w:sz="4" w:space="0"/>
            </w:tcBorders>
            <w:shd w:val="clear" w:color="auto" w:fill="FFFFFF" w:themeFill="background1"/>
            <w:noWrap/>
            <w:vAlign w:val="center"/>
          </w:tcPr>
          <w:p>
            <w:pPr>
              <w:adjustRightInd w:val="0"/>
              <w:snapToGrid w:val="0"/>
              <w:jc w:val="center"/>
              <w:rPr>
                <w:rFonts w:ascii="宋体" w:hAnsi="宋体" w:eastAsia="宋体"/>
                <w:szCs w:val="21"/>
              </w:rPr>
            </w:pPr>
            <w:r>
              <w:rPr>
                <w:rFonts w:ascii="宋体" w:hAnsi="宋体" w:eastAsia="宋体"/>
                <w:szCs w:val="21"/>
              </w:rPr>
              <w:t>9</w:t>
            </w:r>
          </w:p>
        </w:tc>
        <w:tc>
          <w:tcPr>
            <w:tcW w:w="1266" w:type="pct"/>
            <w:tcBorders>
              <w:bottom w:val="single" w:color="auto" w:sz="4" w:space="0"/>
            </w:tcBorders>
            <w:shd w:val="clear" w:color="auto" w:fill="FFFFFF" w:themeFill="background1"/>
            <w:noWrap/>
            <w:vAlign w:val="center"/>
          </w:tcPr>
          <w:p>
            <w:pPr>
              <w:adjustRightInd w:val="0"/>
              <w:snapToGrid w:val="0"/>
              <w:jc w:val="center"/>
              <w:rPr>
                <w:rFonts w:ascii="宋体" w:hAnsi="宋体" w:eastAsia="宋体"/>
                <w:szCs w:val="21"/>
              </w:rPr>
            </w:pPr>
            <w:r>
              <w:rPr>
                <w:rFonts w:hint="eastAsia" w:ascii="宋体" w:hAnsi="宋体" w:eastAsia="宋体"/>
                <w:szCs w:val="21"/>
              </w:rPr>
              <w:t>大渡河水力发电机组以可靠性为中心的维修分析与管理系统建设</w:t>
            </w:r>
          </w:p>
        </w:tc>
        <w:tc>
          <w:tcPr>
            <w:tcW w:w="1468" w:type="pct"/>
            <w:tcBorders>
              <w:bottom w:val="single" w:color="auto" w:sz="4" w:space="0"/>
            </w:tcBorders>
            <w:shd w:val="clear" w:color="auto" w:fill="FFFFFF" w:themeFill="background1"/>
            <w:noWrap/>
            <w:vAlign w:val="center"/>
          </w:tcPr>
          <w:p>
            <w:pPr>
              <w:adjustRightInd w:val="0"/>
              <w:snapToGrid w:val="0"/>
              <w:jc w:val="center"/>
              <w:rPr>
                <w:rFonts w:ascii="宋体" w:hAnsi="宋体" w:eastAsia="宋体"/>
                <w:szCs w:val="21"/>
              </w:rPr>
            </w:pPr>
            <w:r>
              <w:rPr>
                <w:rFonts w:hint="eastAsia" w:ascii="宋体" w:hAnsi="宋体" w:eastAsia="宋体"/>
                <w:szCs w:val="21"/>
              </w:rPr>
              <w:t>国能大渡河检修安装有限公司</w:t>
            </w:r>
          </w:p>
        </w:tc>
        <w:tc>
          <w:tcPr>
            <w:tcW w:w="1598" w:type="pct"/>
            <w:tcBorders>
              <w:bottom w:val="single" w:color="auto" w:sz="4" w:space="0"/>
            </w:tcBorders>
            <w:shd w:val="clear" w:color="auto" w:fill="FFFFFF" w:themeFill="background1"/>
            <w:vAlign w:val="center"/>
          </w:tcPr>
          <w:p>
            <w:pPr>
              <w:adjustRightInd w:val="0"/>
              <w:snapToGrid w:val="0"/>
              <w:jc w:val="center"/>
              <w:rPr>
                <w:rFonts w:ascii="宋体" w:hAnsi="宋体" w:eastAsia="宋体"/>
                <w:szCs w:val="21"/>
              </w:rPr>
            </w:pPr>
            <w:r>
              <w:rPr>
                <w:rFonts w:hint="eastAsia" w:ascii="宋体" w:hAnsi="宋体" w:eastAsia="宋体"/>
                <w:szCs w:val="21"/>
              </w:rPr>
              <w:t>国能大渡河瀑布沟水力发电总厂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878" w:hRule="atLeast"/>
          <w:jc w:val="center"/>
        </w:trPr>
        <w:tc>
          <w:tcPr>
            <w:tcW w:w="333" w:type="pct"/>
            <w:vMerge w:val="continue"/>
            <w:shd w:val="clear" w:color="auto" w:fill="FFFFFF" w:themeFill="background1"/>
            <w:vAlign w:val="center"/>
          </w:tcPr>
          <w:p>
            <w:pPr>
              <w:adjustRightInd w:val="0"/>
              <w:snapToGrid w:val="0"/>
              <w:jc w:val="center"/>
              <w:rPr>
                <w:rFonts w:ascii="黑体" w:hAnsi="黑体" w:eastAsia="黑体"/>
                <w:sz w:val="28"/>
                <w:szCs w:val="28"/>
              </w:rPr>
            </w:pPr>
          </w:p>
        </w:tc>
        <w:tc>
          <w:tcPr>
            <w:tcW w:w="335" w:type="pct"/>
            <w:tcBorders>
              <w:bottom w:val="single" w:color="auto" w:sz="4" w:space="0"/>
            </w:tcBorders>
            <w:shd w:val="clear" w:color="auto" w:fill="FFFFFF" w:themeFill="background1"/>
            <w:noWrap/>
            <w:vAlign w:val="center"/>
          </w:tcPr>
          <w:p>
            <w:pPr>
              <w:adjustRightInd w:val="0"/>
              <w:snapToGrid w:val="0"/>
              <w:jc w:val="center"/>
              <w:rPr>
                <w:rFonts w:ascii="宋体" w:hAnsi="宋体" w:eastAsia="宋体"/>
                <w:szCs w:val="21"/>
              </w:rPr>
            </w:pPr>
            <w:r>
              <w:rPr>
                <w:rFonts w:ascii="宋体" w:hAnsi="宋体" w:eastAsia="宋体"/>
                <w:szCs w:val="21"/>
              </w:rPr>
              <w:t>10</w:t>
            </w:r>
          </w:p>
        </w:tc>
        <w:tc>
          <w:tcPr>
            <w:tcW w:w="1266" w:type="pct"/>
            <w:tcBorders>
              <w:bottom w:val="single" w:color="auto" w:sz="4" w:space="0"/>
            </w:tcBorders>
            <w:shd w:val="clear" w:color="auto" w:fill="FFFFFF" w:themeFill="background1"/>
            <w:noWrap/>
            <w:vAlign w:val="center"/>
          </w:tcPr>
          <w:p>
            <w:pPr>
              <w:adjustRightInd w:val="0"/>
              <w:snapToGrid w:val="0"/>
              <w:jc w:val="center"/>
              <w:rPr>
                <w:rFonts w:ascii="宋体" w:hAnsi="宋体" w:eastAsia="宋体"/>
                <w:szCs w:val="21"/>
              </w:rPr>
            </w:pPr>
            <w:r>
              <w:rPr>
                <w:rFonts w:hint="eastAsia" w:ascii="宋体" w:hAnsi="宋体" w:eastAsia="宋体"/>
                <w:szCs w:val="21"/>
              </w:rPr>
              <w:t>以可靠性为中心的风力发电机组检修维护</w:t>
            </w:r>
          </w:p>
        </w:tc>
        <w:tc>
          <w:tcPr>
            <w:tcW w:w="1468" w:type="pct"/>
            <w:tcBorders>
              <w:bottom w:val="single" w:color="auto" w:sz="4" w:space="0"/>
            </w:tcBorders>
            <w:shd w:val="clear" w:color="auto" w:fill="FFFFFF" w:themeFill="background1"/>
            <w:noWrap/>
            <w:vAlign w:val="center"/>
          </w:tcPr>
          <w:p>
            <w:pPr>
              <w:adjustRightInd w:val="0"/>
              <w:snapToGrid w:val="0"/>
              <w:jc w:val="center"/>
              <w:rPr>
                <w:rFonts w:ascii="宋体" w:hAnsi="宋体" w:eastAsia="宋体"/>
                <w:szCs w:val="21"/>
              </w:rPr>
            </w:pPr>
            <w:r>
              <w:rPr>
                <w:rFonts w:hint="eastAsia" w:ascii="宋体" w:hAnsi="宋体" w:eastAsia="宋体"/>
                <w:szCs w:val="21"/>
              </w:rPr>
              <w:t>中电建新能源集团股份有限公司</w:t>
            </w:r>
          </w:p>
        </w:tc>
        <w:tc>
          <w:tcPr>
            <w:tcW w:w="1598" w:type="pct"/>
            <w:tcBorders>
              <w:bottom w:val="single" w:color="auto" w:sz="4" w:space="0"/>
            </w:tcBorders>
            <w:shd w:val="clear" w:color="auto" w:fill="FFFFFF" w:themeFill="background1"/>
            <w:vAlign w:val="center"/>
          </w:tcPr>
          <w:p>
            <w:pPr>
              <w:adjustRightInd w:val="0"/>
              <w:snapToGrid w:val="0"/>
              <w:jc w:val="center"/>
              <w:rPr>
                <w:rFonts w:ascii="宋体" w:hAnsi="宋体" w:eastAsia="宋体"/>
                <w:szCs w:val="21"/>
              </w:rPr>
            </w:pPr>
            <w:r>
              <w:rPr>
                <w:rFonts w:hint="eastAsia" w:ascii="宋体" w:hAnsi="宋体" w:eastAsia="宋体"/>
                <w:szCs w:val="21"/>
              </w:rPr>
              <w:t>华北电力大学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680" w:hRule="atLeast"/>
          <w:jc w:val="center"/>
        </w:trPr>
        <w:tc>
          <w:tcPr>
            <w:tcW w:w="333" w:type="pct"/>
            <w:vMerge w:val="continue"/>
            <w:shd w:val="clear" w:color="auto" w:fill="FFFFFF" w:themeFill="background1"/>
            <w:vAlign w:val="center"/>
          </w:tcPr>
          <w:p>
            <w:pPr>
              <w:adjustRightInd w:val="0"/>
              <w:snapToGrid w:val="0"/>
              <w:jc w:val="center"/>
              <w:rPr>
                <w:rFonts w:ascii="黑体" w:hAnsi="黑体" w:eastAsia="黑体"/>
                <w:sz w:val="28"/>
                <w:szCs w:val="28"/>
              </w:rPr>
            </w:pPr>
          </w:p>
        </w:tc>
        <w:tc>
          <w:tcPr>
            <w:tcW w:w="335" w:type="pct"/>
            <w:tcBorders>
              <w:bottom w:val="single" w:color="auto" w:sz="4" w:space="0"/>
            </w:tcBorders>
            <w:shd w:val="clear" w:color="auto" w:fill="FFFFFF" w:themeFill="background1"/>
            <w:noWrap/>
            <w:vAlign w:val="center"/>
          </w:tcPr>
          <w:p>
            <w:pPr>
              <w:adjustRightInd w:val="0"/>
              <w:snapToGrid w:val="0"/>
              <w:jc w:val="center"/>
              <w:rPr>
                <w:rFonts w:ascii="宋体" w:hAnsi="宋体" w:eastAsia="宋体"/>
                <w:szCs w:val="21"/>
              </w:rPr>
            </w:pPr>
            <w:r>
              <w:rPr>
                <w:rFonts w:ascii="宋体" w:hAnsi="宋体" w:eastAsia="宋体"/>
                <w:szCs w:val="21"/>
              </w:rPr>
              <w:t>11</w:t>
            </w:r>
          </w:p>
        </w:tc>
        <w:tc>
          <w:tcPr>
            <w:tcW w:w="1266" w:type="pct"/>
            <w:tcBorders>
              <w:bottom w:val="single" w:color="auto" w:sz="4" w:space="0"/>
            </w:tcBorders>
            <w:shd w:val="clear" w:color="auto" w:fill="FFFFFF" w:themeFill="background1"/>
            <w:noWrap/>
            <w:vAlign w:val="center"/>
          </w:tcPr>
          <w:p>
            <w:pPr>
              <w:adjustRightInd w:val="0"/>
              <w:snapToGrid w:val="0"/>
              <w:jc w:val="center"/>
              <w:rPr>
                <w:rFonts w:ascii="宋体" w:hAnsi="宋体" w:eastAsia="宋体"/>
                <w:szCs w:val="21"/>
              </w:rPr>
            </w:pPr>
            <w:r>
              <w:rPr>
                <w:rFonts w:hint="eastAsia" w:ascii="宋体" w:hAnsi="宋体" w:eastAsia="宋体"/>
                <w:szCs w:val="21"/>
              </w:rPr>
              <w:t>基于</w:t>
            </w:r>
            <w:r>
              <w:rPr>
                <w:rFonts w:ascii="宋体" w:hAnsi="宋体" w:eastAsia="宋体"/>
                <w:szCs w:val="21"/>
              </w:rPr>
              <w:t>RCM的磨煤机设备运维策略研究及应用</w:t>
            </w:r>
          </w:p>
        </w:tc>
        <w:tc>
          <w:tcPr>
            <w:tcW w:w="1468" w:type="pct"/>
            <w:tcBorders>
              <w:bottom w:val="single" w:color="auto" w:sz="4" w:space="0"/>
            </w:tcBorders>
            <w:shd w:val="clear" w:color="auto" w:fill="FFFFFF" w:themeFill="background1"/>
            <w:noWrap/>
            <w:vAlign w:val="center"/>
          </w:tcPr>
          <w:p>
            <w:pPr>
              <w:adjustRightInd w:val="0"/>
              <w:snapToGrid w:val="0"/>
              <w:jc w:val="center"/>
              <w:rPr>
                <w:rFonts w:ascii="宋体" w:hAnsi="宋体" w:eastAsia="宋体"/>
                <w:szCs w:val="21"/>
              </w:rPr>
            </w:pPr>
            <w:r>
              <w:rPr>
                <w:rFonts w:hint="eastAsia" w:ascii="宋体" w:hAnsi="宋体" w:eastAsia="宋体"/>
                <w:szCs w:val="21"/>
              </w:rPr>
              <w:t>北京京能能源技术研究有限责任公司</w:t>
            </w:r>
          </w:p>
        </w:tc>
        <w:tc>
          <w:tcPr>
            <w:tcW w:w="1598" w:type="pct"/>
            <w:tcBorders>
              <w:bottom w:val="single" w:color="auto" w:sz="4" w:space="0"/>
            </w:tcBorders>
            <w:shd w:val="clear" w:color="auto" w:fill="FFFFFF" w:themeFill="background1"/>
            <w:vAlign w:val="center"/>
          </w:tcPr>
          <w:p>
            <w:pPr>
              <w:adjustRightInd w:val="0"/>
              <w:snapToGrid w:val="0"/>
              <w:jc w:val="center"/>
              <w:rPr>
                <w:rFonts w:ascii="宋体" w:hAnsi="宋体" w:eastAsia="宋体"/>
                <w:szCs w:val="21"/>
              </w:rPr>
            </w:pPr>
            <w:r>
              <w:rPr>
                <w:rFonts w:hint="eastAsia" w:ascii="宋体" w:hAnsi="宋体" w:eastAsia="宋体"/>
                <w:szCs w:val="21"/>
              </w:rPr>
              <w:t>北京京能电力股份有限公司</w:t>
            </w:r>
          </w:p>
          <w:p>
            <w:pPr>
              <w:adjustRightInd w:val="0"/>
              <w:snapToGrid w:val="0"/>
              <w:jc w:val="center"/>
              <w:rPr>
                <w:rFonts w:ascii="宋体" w:hAnsi="宋体" w:eastAsia="宋体"/>
                <w:szCs w:val="21"/>
              </w:rPr>
            </w:pPr>
            <w:r>
              <w:rPr>
                <w:rFonts w:hint="eastAsia" w:ascii="宋体" w:hAnsi="宋体" w:eastAsia="宋体"/>
                <w:szCs w:val="21"/>
              </w:rPr>
              <w:t>河北涿州京源热电有限责任公司</w:t>
            </w:r>
          </w:p>
          <w:p>
            <w:pPr>
              <w:adjustRightInd w:val="0"/>
              <w:snapToGrid w:val="0"/>
              <w:jc w:val="center"/>
              <w:rPr>
                <w:rFonts w:ascii="宋体" w:hAnsi="宋体" w:eastAsia="宋体"/>
                <w:szCs w:val="21"/>
              </w:rPr>
            </w:pPr>
            <w:r>
              <w:rPr>
                <w:rFonts w:hint="eastAsia" w:ascii="宋体" w:hAnsi="宋体" w:eastAsia="宋体"/>
                <w:szCs w:val="21"/>
              </w:rPr>
              <w:t>内蒙古京隆发电有限责任公司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680" w:hRule="atLeast"/>
          <w:jc w:val="center"/>
        </w:trPr>
        <w:tc>
          <w:tcPr>
            <w:tcW w:w="333" w:type="pct"/>
            <w:vMerge w:val="restart"/>
            <w:shd w:val="clear" w:color="auto" w:fill="FFFFFF" w:themeFill="background1"/>
            <w:noWrap/>
            <w:vAlign w:val="center"/>
          </w:tcPr>
          <w:p>
            <w:pPr>
              <w:adjustRightInd w:val="0"/>
              <w:snapToGrid w:val="0"/>
              <w:jc w:val="center"/>
              <w:rPr>
                <w:rFonts w:ascii="黑体" w:hAnsi="黑体" w:eastAsia="黑体"/>
                <w:sz w:val="28"/>
                <w:szCs w:val="28"/>
              </w:rPr>
            </w:pPr>
            <w:r>
              <w:rPr>
                <w:rFonts w:hint="eastAsia" w:ascii="黑体" w:hAnsi="黑体" w:eastAsia="黑体"/>
                <w:sz w:val="28"/>
                <w:szCs w:val="28"/>
              </w:rPr>
              <w:t>电网专业</w:t>
            </w:r>
          </w:p>
        </w:tc>
        <w:tc>
          <w:tcPr>
            <w:tcW w:w="335" w:type="pct"/>
            <w:shd w:val="clear" w:color="auto" w:fill="FFFFFF" w:themeFill="background1"/>
            <w:noWrap/>
            <w:vAlign w:val="center"/>
          </w:tcPr>
          <w:p>
            <w:pPr>
              <w:adjustRightInd w:val="0"/>
              <w:snapToGrid w:val="0"/>
              <w:jc w:val="center"/>
              <w:rPr>
                <w:rFonts w:ascii="宋体" w:hAnsi="宋体" w:eastAsia="宋体"/>
                <w:szCs w:val="21"/>
              </w:rPr>
            </w:pPr>
            <w:r>
              <w:rPr>
                <w:rFonts w:ascii="宋体" w:hAnsi="宋体" w:eastAsia="宋体"/>
                <w:szCs w:val="21"/>
              </w:rPr>
              <w:t>1</w:t>
            </w:r>
          </w:p>
        </w:tc>
        <w:tc>
          <w:tcPr>
            <w:tcW w:w="1266" w:type="pct"/>
            <w:shd w:val="clear" w:color="auto" w:fill="FFFFFF" w:themeFill="background1"/>
            <w:noWrap/>
            <w:vAlign w:val="center"/>
          </w:tcPr>
          <w:p>
            <w:pPr>
              <w:adjustRightInd w:val="0"/>
              <w:snapToGrid w:val="0"/>
              <w:jc w:val="center"/>
              <w:rPr>
                <w:rFonts w:ascii="宋体" w:hAnsi="宋体" w:eastAsia="宋体"/>
                <w:szCs w:val="21"/>
              </w:rPr>
            </w:pPr>
            <w:r>
              <w:rPr>
                <w:rFonts w:hint="eastAsia" w:ascii="宋体" w:hAnsi="宋体" w:eastAsia="宋体"/>
                <w:szCs w:val="21"/>
              </w:rPr>
              <w:t>以可靠性为中心的大型电力变压器健康管理策略研究</w:t>
            </w:r>
          </w:p>
        </w:tc>
        <w:tc>
          <w:tcPr>
            <w:tcW w:w="1468" w:type="pct"/>
            <w:shd w:val="clear" w:color="auto" w:fill="FFFFFF" w:themeFill="background1"/>
            <w:noWrap/>
            <w:vAlign w:val="center"/>
          </w:tcPr>
          <w:p>
            <w:pPr>
              <w:adjustRightInd w:val="0"/>
              <w:snapToGrid w:val="0"/>
              <w:jc w:val="center"/>
              <w:rPr>
                <w:rFonts w:ascii="宋体" w:hAnsi="宋体" w:eastAsia="宋体"/>
                <w:szCs w:val="21"/>
              </w:rPr>
            </w:pPr>
            <w:r>
              <w:rPr>
                <w:rFonts w:hint="eastAsia" w:ascii="宋体" w:hAnsi="宋体" w:eastAsia="宋体"/>
                <w:szCs w:val="21"/>
              </w:rPr>
              <w:t>国网电力科学研究院武汉南瑞有限责任公司</w:t>
            </w:r>
          </w:p>
        </w:tc>
        <w:tc>
          <w:tcPr>
            <w:tcW w:w="1598" w:type="pct"/>
            <w:shd w:val="clear" w:color="auto" w:fill="FFFFFF" w:themeFill="background1"/>
            <w:vAlign w:val="center"/>
          </w:tcPr>
          <w:p>
            <w:pPr>
              <w:adjustRightInd w:val="0"/>
              <w:snapToGrid w:val="0"/>
              <w:jc w:val="center"/>
              <w:rPr>
                <w:rFonts w:ascii="宋体" w:hAnsi="宋体" w:eastAsia="宋体"/>
                <w:szCs w:val="21"/>
              </w:rPr>
            </w:pPr>
            <w:r>
              <w:rPr>
                <w:rFonts w:hint="eastAsia" w:ascii="宋体" w:hAnsi="宋体" w:eastAsia="宋体"/>
                <w:szCs w:val="21"/>
              </w:rPr>
              <w:t>国家电网有限公司华中分部</w:t>
            </w:r>
          </w:p>
          <w:p>
            <w:pPr>
              <w:adjustRightInd w:val="0"/>
              <w:snapToGrid w:val="0"/>
              <w:jc w:val="center"/>
              <w:rPr>
                <w:rFonts w:ascii="宋体" w:hAnsi="宋体" w:eastAsia="宋体"/>
                <w:szCs w:val="21"/>
              </w:rPr>
            </w:pPr>
            <w:r>
              <w:rPr>
                <w:rFonts w:hint="eastAsia" w:ascii="宋体" w:hAnsi="宋体" w:eastAsia="宋体"/>
                <w:szCs w:val="21"/>
              </w:rPr>
              <w:t>国网湖北省电力有限公司</w:t>
            </w:r>
          </w:p>
          <w:p>
            <w:pPr>
              <w:adjustRightInd w:val="0"/>
              <w:snapToGrid w:val="0"/>
              <w:jc w:val="center"/>
              <w:rPr>
                <w:rFonts w:ascii="宋体" w:hAnsi="宋体" w:eastAsia="宋体"/>
                <w:szCs w:val="21"/>
              </w:rPr>
            </w:pPr>
            <w:r>
              <w:rPr>
                <w:rFonts w:hint="eastAsia" w:ascii="宋体" w:hAnsi="宋体" w:eastAsia="宋体"/>
                <w:szCs w:val="21"/>
              </w:rPr>
              <w:t>特变电工衡阳变压器有限公司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680" w:hRule="atLeast"/>
          <w:jc w:val="center"/>
        </w:trPr>
        <w:tc>
          <w:tcPr>
            <w:tcW w:w="333" w:type="pct"/>
            <w:vMerge w:val="continue"/>
            <w:shd w:val="clear" w:color="auto" w:fill="FFFFFF" w:themeFill="background1"/>
            <w:vAlign w:val="center"/>
          </w:tcPr>
          <w:p>
            <w:pPr>
              <w:adjustRightInd w:val="0"/>
              <w:snapToGrid w:val="0"/>
              <w:jc w:val="center"/>
              <w:rPr>
                <w:rFonts w:ascii="黑体" w:hAnsi="黑体" w:eastAsia="黑体"/>
                <w:sz w:val="28"/>
                <w:szCs w:val="28"/>
              </w:rPr>
            </w:pPr>
          </w:p>
        </w:tc>
        <w:tc>
          <w:tcPr>
            <w:tcW w:w="335" w:type="pct"/>
            <w:shd w:val="clear" w:color="auto" w:fill="FFFFFF" w:themeFill="background1"/>
            <w:noWrap/>
            <w:vAlign w:val="center"/>
          </w:tcPr>
          <w:p>
            <w:pPr>
              <w:adjustRightInd w:val="0"/>
              <w:snapToGrid w:val="0"/>
              <w:jc w:val="center"/>
              <w:rPr>
                <w:rFonts w:ascii="宋体" w:hAnsi="宋体" w:eastAsia="宋体"/>
                <w:szCs w:val="21"/>
              </w:rPr>
            </w:pPr>
            <w:r>
              <w:rPr>
                <w:rFonts w:ascii="宋体" w:hAnsi="宋体" w:eastAsia="宋体"/>
                <w:szCs w:val="21"/>
              </w:rPr>
              <w:t>2</w:t>
            </w:r>
          </w:p>
        </w:tc>
        <w:tc>
          <w:tcPr>
            <w:tcW w:w="1266" w:type="pct"/>
            <w:shd w:val="clear" w:color="auto" w:fill="FFFFFF" w:themeFill="background1"/>
            <w:noWrap/>
            <w:vAlign w:val="center"/>
          </w:tcPr>
          <w:p>
            <w:pPr>
              <w:adjustRightInd w:val="0"/>
              <w:snapToGrid w:val="0"/>
              <w:jc w:val="center"/>
              <w:rPr>
                <w:rFonts w:ascii="宋体" w:hAnsi="宋体" w:eastAsia="宋体"/>
                <w:szCs w:val="21"/>
              </w:rPr>
            </w:pPr>
            <w:r>
              <w:rPr>
                <w:rFonts w:hint="eastAsia" w:ascii="宋体" w:hAnsi="宋体" w:eastAsia="宋体"/>
                <w:szCs w:val="21"/>
              </w:rPr>
              <w:t>基于数字赋能的苏州电网变压器全寿命周期管理与状态检修试点应用</w:t>
            </w:r>
          </w:p>
        </w:tc>
        <w:tc>
          <w:tcPr>
            <w:tcW w:w="1468" w:type="pct"/>
            <w:shd w:val="clear" w:color="auto" w:fill="FFFFFF" w:themeFill="background1"/>
            <w:noWrap/>
            <w:vAlign w:val="center"/>
          </w:tcPr>
          <w:p>
            <w:pPr>
              <w:adjustRightInd w:val="0"/>
              <w:snapToGrid w:val="0"/>
              <w:jc w:val="center"/>
              <w:rPr>
                <w:rFonts w:ascii="宋体" w:hAnsi="宋体" w:eastAsia="宋体"/>
                <w:szCs w:val="21"/>
              </w:rPr>
            </w:pPr>
            <w:r>
              <w:rPr>
                <w:rFonts w:hint="eastAsia" w:ascii="宋体" w:hAnsi="宋体" w:eastAsia="宋体"/>
                <w:szCs w:val="21"/>
              </w:rPr>
              <w:t>国网江苏省电力有限公司</w:t>
            </w:r>
          </w:p>
        </w:tc>
        <w:tc>
          <w:tcPr>
            <w:tcW w:w="1598" w:type="pct"/>
            <w:shd w:val="clear" w:color="auto" w:fill="FFFFFF" w:themeFill="background1"/>
            <w:vAlign w:val="center"/>
          </w:tcPr>
          <w:p>
            <w:pPr>
              <w:adjustRightInd w:val="0"/>
              <w:snapToGrid w:val="0"/>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680" w:hRule="atLeast"/>
          <w:jc w:val="center"/>
        </w:trPr>
        <w:tc>
          <w:tcPr>
            <w:tcW w:w="333" w:type="pct"/>
            <w:vMerge w:val="continue"/>
            <w:shd w:val="clear" w:color="auto" w:fill="FFFFFF" w:themeFill="background1"/>
            <w:vAlign w:val="center"/>
          </w:tcPr>
          <w:p>
            <w:pPr>
              <w:adjustRightInd w:val="0"/>
              <w:snapToGrid w:val="0"/>
              <w:jc w:val="center"/>
              <w:rPr>
                <w:rFonts w:ascii="黑体" w:hAnsi="黑体" w:eastAsia="黑体"/>
                <w:sz w:val="28"/>
                <w:szCs w:val="28"/>
              </w:rPr>
            </w:pPr>
          </w:p>
        </w:tc>
        <w:tc>
          <w:tcPr>
            <w:tcW w:w="335" w:type="pct"/>
            <w:shd w:val="clear" w:color="auto" w:fill="FFFFFF" w:themeFill="background1"/>
            <w:noWrap/>
            <w:vAlign w:val="center"/>
          </w:tcPr>
          <w:p>
            <w:pPr>
              <w:adjustRightInd w:val="0"/>
              <w:snapToGrid w:val="0"/>
              <w:jc w:val="center"/>
              <w:rPr>
                <w:rFonts w:ascii="宋体" w:hAnsi="宋体" w:eastAsia="宋体"/>
                <w:szCs w:val="21"/>
              </w:rPr>
            </w:pPr>
            <w:r>
              <w:rPr>
                <w:rFonts w:ascii="宋体" w:hAnsi="宋体" w:eastAsia="宋体"/>
                <w:szCs w:val="21"/>
              </w:rPr>
              <w:t>3</w:t>
            </w:r>
          </w:p>
        </w:tc>
        <w:tc>
          <w:tcPr>
            <w:tcW w:w="1266" w:type="pct"/>
            <w:shd w:val="clear" w:color="auto" w:fill="FFFFFF" w:themeFill="background1"/>
            <w:noWrap/>
            <w:vAlign w:val="center"/>
          </w:tcPr>
          <w:p>
            <w:pPr>
              <w:adjustRightInd w:val="0"/>
              <w:snapToGrid w:val="0"/>
              <w:jc w:val="center"/>
              <w:rPr>
                <w:rFonts w:ascii="宋体" w:hAnsi="宋体" w:eastAsia="宋体"/>
                <w:szCs w:val="21"/>
              </w:rPr>
            </w:pPr>
            <w:r>
              <w:rPr>
                <w:rFonts w:hint="eastAsia" w:ascii="宋体" w:hAnsi="宋体" w:eastAsia="宋体"/>
                <w:szCs w:val="21"/>
              </w:rPr>
              <w:t>基于运行设备组件寿命分析的800千伏断路器运行可靠性评估指标研究</w:t>
            </w:r>
          </w:p>
        </w:tc>
        <w:tc>
          <w:tcPr>
            <w:tcW w:w="1468" w:type="pct"/>
            <w:shd w:val="clear" w:color="auto" w:fill="FFFFFF" w:themeFill="background1"/>
            <w:noWrap/>
            <w:vAlign w:val="center"/>
          </w:tcPr>
          <w:p>
            <w:pPr>
              <w:adjustRightInd w:val="0"/>
              <w:snapToGrid w:val="0"/>
              <w:jc w:val="center"/>
              <w:rPr>
                <w:rFonts w:ascii="宋体" w:hAnsi="宋体" w:eastAsia="宋体"/>
                <w:szCs w:val="21"/>
              </w:rPr>
            </w:pPr>
            <w:r>
              <w:rPr>
                <w:rFonts w:hint="eastAsia" w:ascii="宋体" w:hAnsi="宋体" w:eastAsia="宋体"/>
                <w:szCs w:val="21"/>
              </w:rPr>
              <w:t>国家电网公司西北分部</w:t>
            </w:r>
          </w:p>
        </w:tc>
        <w:tc>
          <w:tcPr>
            <w:tcW w:w="1598" w:type="pct"/>
            <w:shd w:val="clear" w:color="auto" w:fill="FFFFFF" w:themeFill="background1"/>
            <w:vAlign w:val="center"/>
          </w:tcPr>
          <w:p>
            <w:pPr>
              <w:adjustRightInd w:val="0"/>
              <w:snapToGrid w:val="0"/>
              <w:jc w:val="center"/>
              <w:rPr>
                <w:rFonts w:ascii="宋体" w:hAnsi="宋体" w:eastAsia="宋体"/>
                <w:szCs w:val="21"/>
              </w:rPr>
            </w:pPr>
            <w:r>
              <w:rPr>
                <w:rFonts w:hint="eastAsia" w:ascii="宋体" w:hAnsi="宋体" w:eastAsia="宋体"/>
                <w:szCs w:val="21"/>
              </w:rPr>
              <w:t>西安西电开关电气有限公司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680" w:hRule="atLeast"/>
          <w:jc w:val="center"/>
        </w:trPr>
        <w:tc>
          <w:tcPr>
            <w:tcW w:w="333" w:type="pct"/>
            <w:vMerge w:val="continue"/>
            <w:shd w:val="clear" w:color="auto" w:fill="FFFFFF" w:themeFill="background1"/>
            <w:vAlign w:val="center"/>
          </w:tcPr>
          <w:p>
            <w:pPr>
              <w:adjustRightInd w:val="0"/>
              <w:snapToGrid w:val="0"/>
              <w:jc w:val="center"/>
              <w:rPr>
                <w:rFonts w:ascii="黑体" w:hAnsi="黑体" w:eastAsia="黑体"/>
                <w:sz w:val="28"/>
                <w:szCs w:val="28"/>
              </w:rPr>
            </w:pPr>
          </w:p>
        </w:tc>
        <w:tc>
          <w:tcPr>
            <w:tcW w:w="335" w:type="pct"/>
            <w:shd w:val="clear" w:color="auto" w:fill="FFFFFF" w:themeFill="background1"/>
            <w:noWrap/>
            <w:vAlign w:val="center"/>
          </w:tcPr>
          <w:p>
            <w:pPr>
              <w:adjustRightInd w:val="0"/>
              <w:snapToGrid w:val="0"/>
              <w:jc w:val="center"/>
              <w:rPr>
                <w:rFonts w:ascii="宋体" w:hAnsi="宋体" w:eastAsia="宋体"/>
                <w:szCs w:val="21"/>
              </w:rPr>
            </w:pPr>
            <w:r>
              <w:rPr>
                <w:rFonts w:ascii="宋体" w:hAnsi="宋体" w:eastAsia="宋体"/>
                <w:szCs w:val="21"/>
              </w:rPr>
              <w:t>4</w:t>
            </w:r>
          </w:p>
        </w:tc>
        <w:tc>
          <w:tcPr>
            <w:tcW w:w="1266" w:type="pct"/>
            <w:shd w:val="clear" w:color="auto" w:fill="FFFFFF" w:themeFill="background1"/>
            <w:noWrap/>
            <w:vAlign w:val="center"/>
          </w:tcPr>
          <w:p>
            <w:pPr>
              <w:adjustRightInd w:val="0"/>
              <w:snapToGrid w:val="0"/>
              <w:jc w:val="center"/>
              <w:rPr>
                <w:rFonts w:ascii="宋体" w:hAnsi="宋体" w:eastAsia="宋体"/>
                <w:szCs w:val="21"/>
              </w:rPr>
            </w:pPr>
            <w:r>
              <w:rPr>
                <w:rFonts w:hint="eastAsia" w:ascii="宋体" w:hAnsi="宋体" w:eastAsia="宋体"/>
                <w:szCs w:val="21"/>
              </w:rPr>
              <w:t>以可靠性为中心的GIS设备检修策略研究和试点应用</w:t>
            </w:r>
          </w:p>
        </w:tc>
        <w:tc>
          <w:tcPr>
            <w:tcW w:w="1468" w:type="pct"/>
            <w:shd w:val="clear" w:color="auto" w:fill="FFFFFF" w:themeFill="background1"/>
            <w:noWrap/>
            <w:vAlign w:val="center"/>
          </w:tcPr>
          <w:p>
            <w:pPr>
              <w:adjustRightInd w:val="0"/>
              <w:snapToGrid w:val="0"/>
              <w:jc w:val="center"/>
              <w:rPr>
                <w:rFonts w:ascii="宋体" w:hAnsi="宋体" w:eastAsia="宋体"/>
                <w:szCs w:val="21"/>
              </w:rPr>
            </w:pPr>
            <w:r>
              <w:rPr>
                <w:rFonts w:hint="eastAsia" w:ascii="宋体" w:hAnsi="宋体" w:eastAsia="宋体"/>
                <w:szCs w:val="21"/>
              </w:rPr>
              <w:t>国网内蒙古东部电力有限公司</w:t>
            </w:r>
          </w:p>
        </w:tc>
        <w:tc>
          <w:tcPr>
            <w:tcW w:w="1598" w:type="pct"/>
            <w:shd w:val="clear" w:color="auto" w:fill="FFFFFF" w:themeFill="background1"/>
            <w:vAlign w:val="center"/>
          </w:tcPr>
          <w:p>
            <w:pPr>
              <w:adjustRightInd w:val="0"/>
              <w:snapToGrid w:val="0"/>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680" w:hRule="atLeast"/>
          <w:jc w:val="center"/>
        </w:trPr>
        <w:tc>
          <w:tcPr>
            <w:tcW w:w="333" w:type="pct"/>
            <w:vMerge w:val="continue"/>
            <w:shd w:val="clear" w:color="auto" w:fill="FFFFFF" w:themeFill="background1"/>
            <w:vAlign w:val="center"/>
          </w:tcPr>
          <w:p>
            <w:pPr>
              <w:adjustRightInd w:val="0"/>
              <w:snapToGrid w:val="0"/>
              <w:jc w:val="center"/>
              <w:rPr>
                <w:rFonts w:ascii="黑体" w:hAnsi="黑体" w:eastAsia="黑体"/>
                <w:sz w:val="28"/>
                <w:szCs w:val="28"/>
              </w:rPr>
            </w:pPr>
          </w:p>
        </w:tc>
        <w:tc>
          <w:tcPr>
            <w:tcW w:w="335" w:type="pct"/>
            <w:shd w:val="clear" w:color="auto" w:fill="FFFFFF" w:themeFill="background1"/>
            <w:noWrap/>
            <w:vAlign w:val="center"/>
          </w:tcPr>
          <w:p>
            <w:pPr>
              <w:adjustRightInd w:val="0"/>
              <w:snapToGrid w:val="0"/>
              <w:jc w:val="center"/>
              <w:rPr>
                <w:rFonts w:ascii="宋体" w:hAnsi="宋体" w:eastAsia="宋体"/>
                <w:szCs w:val="21"/>
              </w:rPr>
            </w:pPr>
            <w:r>
              <w:rPr>
                <w:rFonts w:ascii="宋体" w:hAnsi="宋体" w:eastAsia="宋体"/>
                <w:szCs w:val="21"/>
              </w:rPr>
              <w:t>5</w:t>
            </w:r>
          </w:p>
        </w:tc>
        <w:tc>
          <w:tcPr>
            <w:tcW w:w="1266" w:type="pct"/>
            <w:shd w:val="clear" w:color="auto" w:fill="FFFFFF" w:themeFill="background1"/>
            <w:noWrap/>
            <w:vAlign w:val="center"/>
          </w:tcPr>
          <w:p>
            <w:pPr>
              <w:adjustRightInd w:val="0"/>
              <w:snapToGrid w:val="0"/>
              <w:jc w:val="center"/>
              <w:rPr>
                <w:rFonts w:ascii="宋体" w:hAnsi="宋体" w:eastAsia="宋体"/>
                <w:szCs w:val="21"/>
              </w:rPr>
            </w:pPr>
            <w:r>
              <w:rPr>
                <w:rFonts w:hint="eastAsia" w:ascii="宋体" w:hAnsi="宋体" w:eastAsia="宋体"/>
                <w:szCs w:val="21"/>
              </w:rPr>
              <w:t>面向可靠性提升的油浸式电流互感器数字化在线监测与全寿命周期检修策略研究</w:t>
            </w:r>
          </w:p>
        </w:tc>
        <w:tc>
          <w:tcPr>
            <w:tcW w:w="1468" w:type="pct"/>
            <w:shd w:val="clear" w:color="auto" w:fill="FFFFFF" w:themeFill="background1"/>
            <w:noWrap/>
            <w:vAlign w:val="center"/>
          </w:tcPr>
          <w:p>
            <w:pPr>
              <w:adjustRightInd w:val="0"/>
              <w:snapToGrid w:val="0"/>
              <w:jc w:val="center"/>
              <w:rPr>
                <w:rFonts w:ascii="宋体" w:hAnsi="宋体" w:eastAsia="宋体"/>
                <w:szCs w:val="21"/>
              </w:rPr>
            </w:pPr>
            <w:r>
              <w:rPr>
                <w:rFonts w:hint="eastAsia" w:ascii="宋体" w:hAnsi="宋体" w:eastAsia="宋体"/>
                <w:szCs w:val="21"/>
              </w:rPr>
              <w:t>国网安徽省电力有限公司</w:t>
            </w:r>
          </w:p>
        </w:tc>
        <w:tc>
          <w:tcPr>
            <w:tcW w:w="1598" w:type="pct"/>
            <w:shd w:val="clear" w:color="auto" w:fill="FFFFFF" w:themeFill="background1"/>
            <w:vAlign w:val="center"/>
          </w:tcPr>
          <w:p>
            <w:pPr>
              <w:adjustRightInd w:val="0"/>
              <w:snapToGrid w:val="0"/>
              <w:jc w:val="center"/>
              <w:rPr>
                <w:rFonts w:ascii="宋体" w:hAnsi="宋体" w:eastAsia="宋体"/>
                <w:szCs w:val="21"/>
              </w:rPr>
            </w:pPr>
            <w:r>
              <w:rPr>
                <w:rFonts w:hint="eastAsia" w:ascii="宋体" w:hAnsi="宋体" w:eastAsia="宋体"/>
                <w:szCs w:val="21"/>
              </w:rPr>
              <w:t>中国电力科学研究院有限公司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680" w:hRule="atLeast"/>
          <w:jc w:val="center"/>
        </w:trPr>
        <w:tc>
          <w:tcPr>
            <w:tcW w:w="333" w:type="pct"/>
            <w:vMerge w:val="continue"/>
            <w:shd w:val="clear" w:color="auto" w:fill="FFFFFF" w:themeFill="background1"/>
            <w:vAlign w:val="center"/>
          </w:tcPr>
          <w:p>
            <w:pPr>
              <w:adjustRightInd w:val="0"/>
              <w:snapToGrid w:val="0"/>
              <w:jc w:val="center"/>
              <w:rPr>
                <w:rFonts w:ascii="黑体" w:hAnsi="黑体" w:eastAsia="黑体"/>
                <w:sz w:val="28"/>
                <w:szCs w:val="28"/>
              </w:rPr>
            </w:pPr>
          </w:p>
        </w:tc>
        <w:tc>
          <w:tcPr>
            <w:tcW w:w="335" w:type="pct"/>
            <w:shd w:val="clear" w:color="auto" w:fill="FFFFFF" w:themeFill="background1"/>
            <w:noWrap/>
            <w:vAlign w:val="center"/>
          </w:tcPr>
          <w:p>
            <w:pPr>
              <w:adjustRightInd w:val="0"/>
              <w:snapToGrid w:val="0"/>
              <w:jc w:val="center"/>
              <w:rPr>
                <w:rFonts w:ascii="宋体" w:hAnsi="宋体" w:eastAsia="宋体"/>
                <w:szCs w:val="21"/>
              </w:rPr>
            </w:pPr>
            <w:r>
              <w:rPr>
                <w:rFonts w:ascii="宋体" w:hAnsi="宋体" w:eastAsia="宋体"/>
                <w:szCs w:val="21"/>
              </w:rPr>
              <w:t>6</w:t>
            </w:r>
          </w:p>
        </w:tc>
        <w:tc>
          <w:tcPr>
            <w:tcW w:w="1266" w:type="pct"/>
            <w:shd w:val="clear" w:color="auto" w:fill="FFFFFF" w:themeFill="background1"/>
            <w:noWrap/>
            <w:vAlign w:val="center"/>
          </w:tcPr>
          <w:p>
            <w:pPr>
              <w:adjustRightInd w:val="0"/>
              <w:snapToGrid w:val="0"/>
              <w:jc w:val="center"/>
              <w:rPr>
                <w:rFonts w:ascii="宋体" w:hAnsi="宋体" w:eastAsia="宋体"/>
                <w:szCs w:val="21"/>
              </w:rPr>
            </w:pPr>
            <w:r>
              <w:rPr>
                <w:rFonts w:hint="eastAsia" w:ascii="宋体" w:hAnsi="宋体" w:eastAsia="宋体"/>
                <w:szCs w:val="21"/>
              </w:rPr>
              <w:t>以可靠性为中心的变压器检修策略研究及应用</w:t>
            </w:r>
          </w:p>
        </w:tc>
        <w:tc>
          <w:tcPr>
            <w:tcW w:w="1468" w:type="pct"/>
            <w:shd w:val="clear" w:color="auto" w:fill="FFFFFF" w:themeFill="background1"/>
            <w:noWrap/>
            <w:vAlign w:val="center"/>
          </w:tcPr>
          <w:p>
            <w:pPr>
              <w:adjustRightInd w:val="0"/>
              <w:snapToGrid w:val="0"/>
              <w:jc w:val="center"/>
              <w:rPr>
                <w:rFonts w:ascii="宋体" w:hAnsi="宋体" w:eastAsia="宋体"/>
                <w:szCs w:val="21"/>
              </w:rPr>
            </w:pPr>
            <w:r>
              <w:rPr>
                <w:rFonts w:hint="eastAsia" w:ascii="宋体" w:hAnsi="宋体" w:eastAsia="宋体"/>
                <w:szCs w:val="21"/>
              </w:rPr>
              <w:t>南方电网广西电网有限责任公司电力科学研究院</w:t>
            </w:r>
          </w:p>
        </w:tc>
        <w:tc>
          <w:tcPr>
            <w:tcW w:w="1598" w:type="pct"/>
            <w:shd w:val="clear" w:color="auto" w:fill="FFFFFF" w:themeFill="background1"/>
            <w:vAlign w:val="center"/>
          </w:tcPr>
          <w:p>
            <w:pPr>
              <w:adjustRightInd w:val="0"/>
              <w:snapToGrid w:val="0"/>
              <w:jc w:val="center"/>
              <w:rPr>
                <w:rFonts w:ascii="宋体" w:hAnsi="宋体" w:eastAsia="宋体"/>
                <w:szCs w:val="21"/>
              </w:rPr>
            </w:pPr>
            <w:r>
              <w:rPr>
                <w:rFonts w:hint="eastAsia" w:ascii="宋体" w:hAnsi="宋体" w:eastAsia="宋体"/>
                <w:szCs w:val="21"/>
              </w:rPr>
              <w:t>南方电网广西电网有限责任公司南宁供电局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680" w:hRule="atLeast"/>
          <w:jc w:val="center"/>
        </w:trPr>
        <w:tc>
          <w:tcPr>
            <w:tcW w:w="333" w:type="pct"/>
            <w:vMerge w:val="continue"/>
            <w:shd w:val="clear" w:color="auto" w:fill="FFFFFF" w:themeFill="background1"/>
            <w:vAlign w:val="center"/>
          </w:tcPr>
          <w:p>
            <w:pPr>
              <w:adjustRightInd w:val="0"/>
              <w:snapToGrid w:val="0"/>
              <w:jc w:val="center"/>
              <w:rPr>
                <w:rFonts w:ascii="黑体" w:hAnsi="黑体" w:eastAsia="黑体"/>
                <w:sz w:val="28"/>
                <w:szCs w:val="28"/>
              </w:rPr>
            </w:pPr>
          </w:p>
        </w:tc>
        <w:tc>
          <w:tcPr>
            <w:tcW w:w="335" w:type="pct"/>
            <w:shd w:val="clear" w:color="auto" w:fill="FFFFFF" w:themeFill="background1"/>
            <w:noWrap/>
            <w:vAlign w:val="center"/>
          </w:tcPr>
          <w:p>
            <w:pPr>
              <w:adjustRightInd w:val="0"/>
              <w:snapToGrid w:val="0"/>
              <w:jc w:val="center"/>
              <w:rPr>
                <w:rFonts w:ascii="宋体" w:hAnsi="宋体" w:eastAsia="宋体"/>
                <w:szCs w:val="21"/>
              </w:rPr>
            </w:pPr>
            <w:r>
              <w:rPr>
                <w:rFonts w:ascii="宋体" w:hAnsi="宋体" w:eastAsia="宋体"/>
                <w:szCs w:val="21"/>
              </w:rPr>
              <w:t>7</w:t>
            </w:r>
          </w:p>
        </w:tc>
        <w:tc>
          <w:tcPr>
            <w:tcW w:w="1266" w:type="pct"/>
            <w:shd w:val="clear" w:color="auto" w:fill="FFFFFF" w:themeFill="background1"/>
            <w:noWrap/>
            <w:vAlign w:val="center"/>
          </w:tcPr>
          <w:p>
            <w:pPr>
              <w:adjustRightInd w:val="0"/>
              <w:snapToGrid w:val="0"/>
              <w:jc w:val="center"/>
              <w:rPr>
                <w:rFonts w:ascii="宋体" w:hAnsi="宋体" w:eastAsia="宋体"/>
                <w:szCs w:val="21"/>
              </w:rPr>
            </w:pPr>
            <w:r>
              <w:rPr>
                <w:rFonts w:hint="eastAsia" w:ascii="宋体" w:hAnsi="宋体" w:eastAsia="宋体"/>
                <w:szCs w:val="21"/>
              </w:rPr>
              <w:t>深化以可靠性为中心的敞开式断路器检修策略研究及应用</w:t>
            </w:r>
          </w:p>
        </w:tc>
        <w:tc>
          <w:tcPr>
            <w:tcW w:w="1468" w:type="pct"/>
            <w:shd w:val="clear" w:color="auto" w:fill="FFFFFF" w:themeFill="background1"/>
            <w:noWrap/>
            <w:vAlign w:val="center"/>
          </w:tcPr>
          <w:p>
            <w:pPr>
              <w:adjustRightInd w:val="0"/>
              <w:snapToGrid w:val="0"/>
              <w:jc w:val="center"/>
              <w:rPr>
                <w:rFonts w:ascii="宋体" w:hAnsi="宋体" w:eastAsia="宋体"/>
                <w:szCs w:val="21"/>
              </w:rPr>
            </w:pPr>
            <w:r>
              <w:rPr>
                <w:rFonts w:hint="eastAsia" w:ascii="宋体" w:hAnsi="宋体" w:eastAsia="宋体"/>
                <w:szCs w:val="21"/>
              </w:rPr>
              <w:t>南方电网云南电网有限责任公司电力科学研究院</w:t>
            </w:r>
          </w:p>
        </w:tc>
        <w:tc>
          <w:tcPr>
            <w:tcW w:w="1598" w:type="pct"/>
            <w:shd w:val="clear" w:color="auto" w:fill="FFFFFF" w:themeFill="background1"/>
            <w:vAlign w:val="center"/>
          </w:tcPr>
          <w:p>
            <w:pPr>
              <w:adjustRightInd w:val="0"/>
              <w:snapToGrid w:val="0"/>
              <w:jc w:val="center"/>
              <w:rPr>
                <w:rFonts w:ascii="宋体" w:hAnsi="宋体" w:eastAsia="宋体"/>
                <w:szCs w:val="21"/>
              </w:rPr>
            </w:pPr>
            <w:r>
              <w:rPr>
                <w:rFonts w:hint="eastAsia" w:ascii="宋体" w:hAnsi="宋体" w:eastAsia="宋体"/>
                <w:szCs w:val="21"/>
              </w:rPr>
              <w:t>南方电网云南电网有限责任公司昆明供电局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333" w:type="pct"/>
            <w:vMerge w:val="continue"/>
            <w:shd w:val="clear" w:color="auto" w:fill="FFFFFF" w:themeFill="background1"/>
            <w:vAlign w:val="center"/>
          </w:tcPr>
          <w:p>
            <w:pPr>
              <w:adjustRightInd w:val="0"/>
              <w:snapToGrid w:val="0"/>
              <w:jc w:val="center"/>
              <w:rPr>
                <w:rFonts w:ascii="黑体" w:hAnsi="黑体" w:eastAsia="黑体"/>
                <w:sz w:val="28"/>
                <w:szCs w:val="28"/>
              </w:rPr>
            </w:pPr>
          </w:p>
        </w:tc>
        <w:tc>
          <w:tcPr>
            <w:tcW w:w="335" w:type="pct"/>
            <w:shd w:val="clear" w:color="auto" w:fill="FFFFFF" w:themeFill="background1"/>
            <w:noWrap/>
            <w:vAlign w:val="center"/>
          </w:tcPr>
          <w:p>
            <w:pPr>
              <w:adjustRightInd w:val="0"/>
              <w:snapToGrid w:val="0"/>
              <w:jc w:val="center"/>
              <w:rPr>
                <w:rFonts w:ascii="宋体" w:hAnsi="宋体" w:eastAsia="宋体"/>
                <w:szCs w:val="21"/>
              </w:rPr>
            </w:pPr>
            <w:r>
              <w:rPr>
                <w:rFonts w:ascii="宋体" w:hAnsi="宋体" w:eastAsia="宋体"/>
                <w:szCs w:val="21"/>
              </w:rPr>
              <w:t>8</w:t>
            </w:r>
          </w:p>
        </w:tc>
        <w:tc>
          <w:tcPr>
            <w:tcW w:w="1266" w:type="pct"/>
            <w:shd w:val="clear" w:color="auto" w:fill="FFFFFF" w:themeFill="background1"/>
            <w:noWrap/>
            <w:vAlign w:val="center"/>
          </w:tcPr>
          <w:p>
            <w:pPr>
              <w:adjustRightInd w:val="0"/>
              <w:snapToGrid w:val="0"/>
              <w:jc w:val="center"/>
              <w:rPr>
                <w:rFonts w:ascii="宋体" w:hAnsi="宋体" w:eastAsia="宋体"/>
                <w:szCs w:val="21"/>
              </w:rPr>
            </w:pPr>
            <w:r>
              <w:rPr>
                <w:rFonts w:hint="eastAsia" w:ascii="宋体" w:hAnsi="宋体" w:eastAsia="宋体"/>
                <w:szCs w:val="21"/>
              </w:rPr>
              <w:t>数字化转型推动本质可靠的配电网</w:t>
            </w:r>
            <w:r>
              <w:rPr>
                <w:rFonts w:ascii="宋体" w:hAnsi="宋体" w:eastAsia="宋体"/>
                <w:szCs w:val="21"/>
              </w:rPr>
              <w:t>RCM业务新模式</w:t>
            </w:r>
          </w:p>
        </w:tc>
        <w:tc>
          <w:tcPr>
            <w:tcW w:w="1468" w:type="pct"/>
            <w:shd w:val="clear" w:color="auto" w:fill="FFFFFF" w:themeFill="background1"/>
            <w:noWrap/>
            <w:vAlign w:val="center"/>
          </w:tcPr>
          <w:p>
            <w:pPr>
              <w:adjustRightInd w:val="0"/>
              <w:snapToGrid w:val="0"/>
              <w:jc w:val="center"/>
              <w:rPr>
                <w:rFonts w:ascii="宋体" w:hAnsi="宋体" w:eastAsia="宋体"/>
                <w:szCs w:val="21"/>
              </w:rPr>
            </w:pPr>
            <w:r>
              <w:rPr>
                <w:rFonts w:hint="eastAsia" w:ascii="宋体" w:hAnsi="宋体" w:eastAsia="宋体"/>
                <w:szCs w:val="21"/>
              </w:rPr>
              <w:t>南方电网深圳供电局有限公司</w:t>
            </w:r>
          </w:p>
        </w:tc>
        <w:tc>
          <w:tcPr>
            <w:tcW w:w="1598" w:type="pct"/>
            <w:shd w:val="clear" w:color="auto" w:fill="FFFFFF" w:themeFill="background1"/>
            <w:vAlign w:val="center"/>
          </w:tcPr>
          <w:p>
            <w:pPr>
              <w:adjustRightInd w:val="0"/>
              <w:snapToGrid w:val="0"/>
              <w:jc w:val="center"/>
              <w:rPr>
                <w:rFonts w:ascii="宋体" w:hAnsi="宋体" w:eastAsia="宋体"/>
                <w:szCs w:val="21"/>
              </w:rPr>
            </w:pPr>
            <w:r>
              <w:rPr>
                <w:rFonts w:hint="eastAsia" w:ascii="宋体" w:hAnsi="宋体" w:eastAsia="宋体"/>
                <w:szCs w:val="21"/>
              </w:rPr>
              <w:t>上海交通大学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333" w:type="pct"/>
            <w:vMerge w:val="continue"/>
            <w:shd w:val="clear" w:color="auto" w:fill="FFFFFF" w:themeFill="background1"/>
            <w:vAlign w:val="center"/>
          </w:tcPr>
          <w:p>
            <w:pPr>
              <w:adjustRightInd w:val="0"/>
              <w:snapToGrid w:val="0"/>
              <w:jc w:val="center"/>
              <w:rPr>
                <w:rFonts w:ascii="黑体" w:hAnsi="黑体" w:eastAsia="黑体"/>
                <w:sz w:val="28"/>
                <w:szCs w:val="28"/>
              </w:rPr>
            </w:pPr>
          </w:p>
        </w:tc>
        <w:tc>
          <w:tcPr>
            <w:tcW w:w="335" w:type="pct"/>
            <w:shd w:val="clear" w:color="auto" w:fill="FFFFFF" w:themeFill="background1"/>
            <w:noWrap/>
            <w:vAlign w:val="center"/>
          </w:tcPr>
          <w:p>
            <w:pPr>
              <w:adjustRightInd w:val="0"/>
              <w:snapToGrid w:val="0"/>
              <w:jc w:val="center"/>
              <w:rPr>
                <w:rFonts w:ascii="宋体" w:hAnsi="宋体" w:eastAsia="宋体"/>
                <w:szCs w:val="21"/>
              </w:rPr>
            </w:pPr>
            <w:r>
              <w:rPr>
                <w:rFonts w:ascii="宋体" w:hAnsi="宋体" w:eastAsia="宋体"/>
                <w:szCs w:val="21"/>
              </w:rPr>
              <w:t>9</w:t>
            </w:r>
          </w:p>
        </w:tc>
        <w:tc>
          <w:tcPr>
            <w:tcW w:w="1266" w:type="pct"/>
            <w:shd w:val="clear" w:color="auto" w:fill="FFFFFF" w:themeFill="background1"/>
            <w:noWrap/>
            <w:vAlign w:val="center"/>
          </w:tcPr>
          <w:p>
            <w:pPr>
              <w:adjustRightInd w:val="0"/>
              <w:snapToGrid w:val="0"/>
              <w:jc w:val="center"/>
              <w:rPr>
                <w:rFonts w:ascii="宋体" w:hAnsi="宋体" w:eastAsia="宋体"/>
                <w:szCs w:val="21"/>
              </w:rPr>
            </w:pPr>
            <w:r>
              <w:rPr>
                <w:rFonts w:hint="eastAsia" w:ascii="宋体" w:hAnsi="宋体" w:eastAsia="宋体"/>
                <w:szCs w:val="21"/>
              </w:rPr>
              <w:t>以可靠性为中心的变压器维修策略研究与应用</w:t>
            </w:r>
          </w:p>
        </w:tc>
        <w:tc>
          <w:tcPr>
            <w:tcW w:w="1468" w:type="pct"/>
            <w:shd w:val="clear" w:color="auto" w:fill="FFFFFF" w:themeFill="background1"/>
            <w:noWrap/>
            <w:vAlign w:val="center"/>
          </w:tcPr>
          <w:p>
            <w:pPr>
              <w:adjustRightInd w:val="0"/>
              <w:snapToGrid w:val="0"/>
              <w:jc w:val="center"/>
              <w:rPr>
                <w:rFonts w:ascii="宋体" w:hAnsi="宋体" w:eastAsia="宋体"/>
                <w:szCs w:val="21"/>
              </w:rPr>
            </w:pPr>
            <w:r>
              <w:rPr>
                <w:rFonts w:hint="eastAsia" w:ascii="宋体" w:hAnsi="宋体" w:eastAsia="宋体"/>
                <w:szCs w:val="21"/>
              </w:rPr>
              <w:t>内蒙古电力（集团）有限责任公司</w:t>
            </w:r>
          </w:p>
        </w:tc>
        <w:tc>
          <w:tcPr>
            <w:tcW w:w="1598" w:type="pct"/>
            <w:shd w:val="clear" w:color="auto" w:fill="FFFFFF" w:themeFill="background1"/>
            <w:vAlign w:val="center"/>
          </w:tcPr>
          <w:p>
            <w:pPr>
              <w:adjustRightInd w:val="0"/>
              <w:snapToGrid w:val="0"/>
              <w:jc w:val="center"/>
              <w:rPr>
                <w:rFonts w:ascii="宋体" w:hAnsi="宋体" w:eastAsia="宋体"/>
                <w:szCs w:val="21"/>
              </w:rPr>
            </w:pPr>
            <w:r>
              <w:rPr>
                <w:rFonts w:hint="eastAsia" w:ascii="宋体" w:hAnsi="宋体" w:eastAsia="宋体"/>
                <w:szCs w:val="21"/>
              </w:rPr>
              <w:t>日立能源（中国）有限公司</w:t>
            </w:r>
          </w:p>
        </w:tc>
      </w:tr>
    </w:tbl>
    <w:p>
      <w:pPr>
        <w:adjustRightInd w:val="0"/>
        <w:snapToGrid w:val="0"/>
        <w:spacing w:line="600" w:lineRule="exact"/>
        <w:rPr>
          <w:rFonts w:ascii="Times New Roman" w:hAnsi="Times New Roman" w:eastAsia="仿宋_GB2312"/>
          <w:sz w:val="32"/>
          <w:szCs w:val="32"/>
        </w:rPr>
      </w:pPr>
    </w:p>
    <w:sectPr>
      <w:footerReference r:id="rId3" w:type="default"/>
      <w:pgSz w:w="16838" w:h="11906" w:orient="landscape"/>
      <w:pgMar w:top="1474" w:right="1985" w:bottom="1588" w:left="209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3FA956D-295B-4525-AAFA-D7C3EC911B0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embedRegular r:id="rId2" w:fontKey="{7DF751B5-4AAE-4B8A-A6AF-F5B8B8D44AF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embedRegular r:id="rId3" w:fontKey="{E3DE4268-5F55-4E0B-BD91-F1EB03265206}"/>
  </w:font>
  <w:font w:name="方正小标宋_GBK">
    <w:altName w:val="微软雅黑"/>
    <w:panose1 w:val="02000000000000000000"/>
    <w:charset w:val="86"/>
    <w:family w:val="auto"/>
    <w:pitch w:val="default"/>
    <w:sig w:usb0="00000000" w:usb1="00000000" w:usb2="00000000" w:usb3="00000000" w:csb0="00040000" w:csb1="00000000"/>
    <w:embedRegular r:id="rId4" w:fontKey="{4ACE8572-BE33-487D-B9BA-7DA6B0BF3B2F}"/>
  </w:font>
  <w:font w:name="方正小标宋简体">
    <w:altName w:val="黑体"/>
    <w:panose1 w:val="02000000000000000000"/>
    <w:charset w:val="86"/>
    <w:family w:val="auto"/>
    <w:pitch w:val="default"/>
    <w:sig w:usb0="00000000" w:usb1="00000000" w:usb2="00000012" w:usb3="00000000" w:csb0="00040001" w:csb1="00000000"/>
    <w:embedRegular r:id="rId5" w:fontKey="{F8CEF019-35AF-4759-83C3-3A0F3A0A69C7}"/>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2685118"/>
      <w:docPartObj>
        <w:docPartGallery w:val="autotext"/>
      </w:docPartObj>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ZiMjJhZmEyZDZmNTE1NTZkMjBmOTY0MjNmNmQyZjkifQ=="/>
  </w:docVars>
  <w:rsids>
    <w:rsidRoot w:val="00FE631E"/>
    <w:rsid w:val="000019A6"/>
    <w:rsid w:val="0000214A"/>
    <w:rsid w:val="000030B5"/>
    <w:rsid w:val="00003689"/>
    <w:rsid w:val="0000409A"/>
    <w:rsid w:val="00004B66"/>
    <w:rsid w:val="00005C05"/>
    <w:rsid w:val="00013B6A"/>
    <w:rsid w:val="00013F7B"/>
    <w:rsid w:val="00020C00"/>
    <w:rsid w:val="0002217C"/>
    <w:rsid w:val="00023D19"/>
    <w:rsid w:val="0002443B"/>
    <w:rsid w:val="00024456"/>
    <w:rsid w:val="000262B5"/>
    <w:rsid w:val="000263F3"/>
    <w:rsid w:val="00026979"/>
    <w:rsid w:val="00026E30"/>
    <w:rsid w:val="00026E66"/>
    <w:rsid w:val="000276BF"/>
    <w:rsid w:val="00027BB0"/>
    <w:rsid w:val="0003061D"/>
    <w:rsid w:val="00030690"/>
    <w:rsid w:val="00031462"/>
    <w:rsid w:val="000316B2"/>
    <w:rsid w:val="00031D69"/>
    <w:rsid w:val="00032691"/>
    <w:rsid w:val="000337B8"/>
    <w:rsid w:val="00034295"/>
    <w:rsid w:val="00034903"/>
    <w:rsid w:val="0004269F"/>
    <w:rsid w:val="00043028"/>
    <w:rsid w:val="00043B26"/>
    <w:rsid w:val="000449C8"/>
    <w:rsid w:val="00045E21"/>
    <w:rsid w:val="00046193"/>
    <w:rsid w:val="00051945"/>
    <w:rsid w:val="000532B6"/>
    <w:rsid w:val="0006033F"/>
    <w:rsid w:val="0006178C"/>
    <w:rsid w:val="000633F2"/>
    <w:rsid w:val="00065C22"/>
    <w:rsid w:val="00065DA0"/>
    <w:rsid w:val="00066A9D"/>
    <w:rsid w:val="00070F24"/>
    <w:rsid w:val="00070FBD"/>
    <w:rsid w:val="00072033"/>
    <w:rsid w:val="0007691B"/>
    <w:rsid w:val="00077666"/>
    <w:rsid w:val="00077984"/>
    <w:rsid w:val="00077CF2"/>
    <w:rsid w:val="00077D2F"/>
    <w:rsid w:val="0008093C"/>
    <w:rsid w:val="00081403"/>
    <w:rsid w:val="00081AFE"/>
    <w:rsid w:val="00086490"/>
    <w:rsid w:val="00086590"/>
    <w:rsid w:val="00086817"/>
    <w:rsid w:val="00086C82"/>
    <w:rsid w:val="00086E7C"/>
    <w:rsid w:val="0009113A"/>
    <w:rsid w:val="00093C41"/>
    <w:rsid w:val="00093CC4"/>
    <w:rsid w:val="0009413A"/>
    <w:rsid w:val="00094582"/>
    <w:rsid w:val="0009468A"/>
    <w:rsid w:val="00095147"/>
    <w:rsid w:val="000961FF"/>
    <w:rsid w:val="00096D14"/>
    <w:rsid w:val="00096F76"/>
    <w:rsid w:val="000A0F4F"/>
    <w:rsid w:val="000A625B"/>
    <w:rsid w:val="000A76EB"/>
    <w:rsid w:val="000B05DE"/>
    <w:rsid w:val="000B0C11"/>
    <w:rsid w:val="000B27EC"/>
    <w:rsid w:val="000B2C91"/>
    <w:rsid w:val="000B2CDB"/>
    <w:rsid w:val="000B302A"/>
    <w:rsid w:val="000B5BBE"/>
    <w:rsid w:val="000B7B15"/>
    <w:rsid w:val="000C15C0"/>
    <w:rsid w:val="000C2733"/>
    <w:rsid w:val="000C2F6A"/>
    <w:rsid w:val="000C3AA7"/>
    <w:rsid w:val="000C3BE0"/>
    <w:rsid w:val="000C6227"/>
    <w:rsid w:val="000C6989"/>
    <w:rsid w:val="000C6BB3"/>
    <w:rsid w:val="000D0EBC"/>
    <w:rsid w:val="000D1D41"/>
    <w:rsid w:val="000D301F"/>
    <w:rsid w:val="000D6E86"/>
    <w:rsid w:val="000E192D"/>
    <w:rsid w:val="000E315E"/>
    <w:rsid w:val="000E3597"/>
    <w:rsid w:val="000E4E7F"/>
    <w:rsid w:val="000E4E85"/>
    <w:rsid w:val="000E7983"/>
    <w:rsid w:val="000E7CC4"/>
    <w:rsid w:val="000F0FE6"/>
    <w:rsid w:val="000F1DA6"/>
    <w:rsid w:val="000F4A40"/>
    <w:rsid w:val="000F60A2"/>
    <w:rsid w:val="00103EE0"/>
    <w:rsid w:val="00111831"/>
    <w:rsid w:val="00112511"/>
    <w:rsid w:val="001136E9"/>
    <w:rsid w:val="00114122"/>
    <w:rsid w:val="00114AB4"/>
    <w:rsid w:val="001173EE"/>
    <w:rsid w:val="00117AB3"/>
    <w:rsid w:val="00120EBC"/>
    <w:rsid w:val="00121F9C"/>
    <w:rsid w:val="0012411A"/>
    <w:rsid w:val="0012470B"/>
    <w:rsid w:val="001307BD"/>
    <w:rsid w:val="001335A7"/>
    <w:rsid w:val="00133670"/>
    <w:rsid w:val="00133AC3"/>
    <w:rsid w:val="00134BCF"/>
    <w:rsid w:val="00134CEE"/>
    <w:rsid w:val="0013548D"/>
    <w:rsid w:val="00135BDE"/>
    <w:rsid w:val="00136FF0"/>
    <w:rsid w:val="00140710"/>
    <w:rsid w:val="00140DD5"/>
    <w:rsid w:val="001424A6"/>
    <w:rsid w:val="00144412"/>
    <w:rsid w:val="00144DC0"/>
    <w:rsid w:val="00146052"/>
    <w:rsid w:val="00152C15"/>
    <w:rsid w:val="00153DB3"/>
    <w:rsid w:val="00154865"/>
    <w:rsid w:val="001567E3"/>
    <w:rsid w:val="00157098"/>
    <w:rsid w:val="0015757B"/>
    <w:rsid w:val="0016205D"/>
    <w:rsid w:val="00164036"/>
    <w:rsid w:val="001641D6"/>
    <w:rsid w:val="00165002"/>
    <w:rsid w:val="001655D4"/>
    <w:rsid w:val="00165805"/>
    <w:rsid w:val="00166454"/>
    <w:rsid w:val="00170D57"/>
    <w:rsid w:val="0017201A"/>
    <w:rsid w:val="00174281"/>
    <w:rsid w:val="001748AC"/>
    <w:rsid w:val="00174D0D"/>
    <w:rsid w:val="00174F94"/>
    <w:rsid w:val="00175A89"/>
    <w:rsid w:val="00176E05"/>
    <w:rsid w:val="00177931"/>
    <w:rsid w:val="001803E5"/>
    <w:rsid w:val="00183436"/>
    <w:rsid w:val="001837CD"/>
    <w:rsid w:val="00184BF5"/>
    <w:rsid w:val="00184D85"/>
    <w:rsid w:val="00186B4C"/>
    <w:rsid w:val="00186C94"/>
    <w:rsid w:val="00190316"/>
    <w:rsid w:val="001903C7"/>
    <w:rsid w:val="00190654"/>
    <w:rsid w:val="00190ACB"/>
    <w:rsid w:val="0019450A"/>
    <w:rsid w:val="00194772"/>
    <w:rsid w:val="00195497"/>
    <w:rsid w:val="00195EBF"/>
    <w:rsid w:val="0019747C"/>
    <w:rsid w:val="00197563"/>
    <w:rsid w:val="00197C08"/>
    <w:rsid w:val="00197ECF"/>
    <w:rsid w:val="001A0AAC"/>
    <w:rsid w:val="001A1F53"/>
    <w:rsid w:val="001A370D"/>
    <w:rsid w:val="001A64EC"/>
    <w:rsid w:val="001A7447"/>
    <w:rsid w:val="001B1EAC"/>
    <w:rsid w:val="001B24F2"/>
    <w:rsid w:val="001B30D9"/>
    <w:rsid w:val="001B6C74"/>
    <w:rsid w:val="001C07CF"/>
    <w:rsid w:val="001C1381"/>
    <w:rsid w:val="001C736D"/>
    <w:rsid w:val="001D02B8"/>
    <w:rsid w:val="001D35E3"/>
    <w:rsid w:val="001E23F6"/>
    <w:rsid w:val="001E322F"/>
    <w:rsid w:val="001E7D11"/>
    <w:rsid w:val="001F55A3"/>
    <w:rsid w:val="001F6248"/>
    <w:rsid w:val="001F7823"/>
    <w:rsid w:val="0020044B"/>
    <w:rsid w:val="00202284"/>
    <w:rsid w:val="002022C2"/>
    <w:rsid w:val="00206ED1"/>
    <w:rsid w:val="00207230"/>
    <w:rsid w:val="0020762E"/>
    <w:rsid w:val="002103CC"/>
    <w:rsid w:val="00211750"/>
    <w:rsid w:val="002144F5"/>
    <w:rsid w:val="00215A26"/>
    <w:rsid w:val="002160B3"/>
    <w:rsid w:val="002163F6"/>
    <w:rsid w:val="002223F9"/>
    <w:rsid w:val="0022499C"/>
    <w:rsid w:val="002257A9"/>
    <w:rsid w:val="002265E7"/>
    <w:rsid w:val="00226832"/>
    <w:rsid w:val="00227A5F"/>
    <w:rsid w:val="0023067E"/>
    <w:rsid w:val="002306C6"/>
    <w:rsid w:val="00230FE9"/>
    <w:rsid w:val="00233911"/>
    <w:rsid w:val="002352D9"/>
    <w:rsid w:val="00237050"/>
    <w:rsid w:val="0024024F"/>
    <w:rsid w:val="002423AE"/>
    <w:rsid w:val="00243BE6"/>
    <w:rsid w:val="002444B7"/>
    <w:rsid w:val="002461EA"/>
    <w:rsid w:val="00246B58"/>
    <w:rsid w:val="0024704F"/>
    <w:rsid w:val="002472E7"/>
    <w:rsid w:val="00250895"/>
    <w:rsid w:val="0025273A"/>
    <w:rsid w:val="00252F34"/>
    <w:rsid w:val="00256923"/>
    <w:rsid w:val="002618C1"/>
    <w:rsid w:val="00261E7B"/>
    <w:rsid w:val="002620FF"/>
    <w:rsid w:val="0026214B"/>
    <w:rsid w:val="0026301A"/>
    <w:rsid w:val="00264A4B"/>
    <w:rsid w:val="00265409"/>
    <w:rsid w:val="002664CD"/>
    <w:rsid w:val="002676CD"/>
    <w:rsid w:val="002703A4"/>
    <w:rsid w:val="00270906"/>
    <w:rsid w:val="00270F12"/>
    <w:rsid w:val="002723DE"/>
    <w:rsid w:val="00272B05"/>
    <w:rsid w:val="00274875"/>
    <w:rsid w:val="00276C9B"/>
    <w:rsid w:val="00284787"/>
    <w:rsid w:val="00286C1B"/>
    <w:rsid w:val="00287861"/>
    <w:rsid w:val="00292B39"/>
    <w:rsid w:val="00292F4C"/>
    <w:rsid w:val="00292FEB"/>
    <w:rsid w:val="002950B5"/>
    <w:rsid w:val="0029563B"/>
    <w:rsid w:val="002A2791"/>
    <w:rsid w:val="002A2B29"/>
    <w:rsid w:val="002A4D1A"/>
    <w:rsid w:val="002A611B"/>
    <w:rsid w:val="002A7639"/>
    <w:rsid w:val="002B1336"/>
    <w:rsid w:val="002B1BDF"/>
    <w:rsid w:val="002B2AAF"/>
    <w:rsid w:val="002B5099"/>
    <w:rsid w:val="002B6AF1"/>
    <w:rsid w:val="002B6DCF"/>
    <w:rsid w:val="002B789F"/>
    <w:rsid w:val="002C1D19"/>
    <w:rsid w:val="002C1D38"/>
    <w:rsid w:val="002C2057"/>
    <w:rsid w:val="002C3A3F"/>
    <w:rsid w:val="002C3AD5"/>
    <w:rsid w:val="002C3D72"/>
    <w:rsid w:val="002C42D0"/>
    <w:rsid w:val="002C4CEE"/>
    <w:rsid w:val="002C7A16"/>
    <w:rsid w:val="002D0463"/>
    <w:rsid w:val="002D2406"/>
    <w:rsid w:val="002D6B99"/>
    <w:rsid w:val="002D6D9C"/>
    <w:rsid w:val="002D7D3E"/>
    <w:rsid w:val="002E15F5"/>
    <w:rsid w:val="002E2402"/>
    <w:rsid w:val="002E2FBE"/>
    <w:rsid w:val="002E4CB3"/>
    <w:rsid w:val="002E625E"/>
    <w:rsid w:val="002E6935"/>
    <w:rsid w:val="002E6E54"/>
    <w:rsid w:val="002F0855"/>
    <w:rsid w:val="002F1476"/>
    <w:rsid w:val="002F2E90"/>
    <w:rsid w:val="002F400A"/>
    <w:rsid w:val="002F58EB"/>
    <w:rsid w:val="002F63CE"/>
    <w:rsid w:val="002F7237"/>
    <w:rsid w:val="003019AC"/>
    <w:rsid w:val="00303F3B"/>
    <w:rsid w:val="00304F36"/>
    <w:rsid w:val="00307255"/>
    <w:rsid w:val="00312DF3"/>
    <w:rsid w:val="00313540"/>
    <w:rsid w:val="003142BB"/>
    <w:rsid w:val="0031455C"/>
    <w:rsid w:val="003147DC"/>
    <w:rsid w:val="00314AD2"/>
    <w:rsid w:val="00314E28"/>
    <w:rsid w:val="00315A90"/>
    <w:rsid w:val="00315CEF"/>
    <w:rsid w:val="003240FE"/>
    <w:rsid w:val="0032465F"/>
    <w:rsid w:val="00327726"/>
    <w:rsid w:val="003304EC"/>
    <w:rsid w:val="003307FE"/>
    <w:rsid w:val="00330A73"/>
    <w:rsid w:val="00332BB4"/>
    <w:rsid w:val="0034304B"/>
    <w:rsid w:val="00344409"/>
    <w:rsid w:val="00344BE7"/>
    <w:rsid w:val="0034628D"/>
    <w:rsid w:val="003470C2"/>
    <w:rsid w:val="003513D2"/>
    <w:rsid w:val="00351926"/>
    <w:rsid w:val="00352723"/>
    <w:rsid w:val="00352AF4"/>
    <w:rsid w:val="00353715"/>
    <w:rsid w:val="00353BD9"/>
    <w:rsid w:val="00356770"/>
    <w:rsid w:val="0036072C"/>
    <w:rsid w:val="00361288"/>
    <w:rsid w:val="00363B3D"/>
    <w:rsid w:val="00364216"/>
    <w:rsid w:val="003656B9"/>
    <w:rsid w:val="003660D8"/>
    <w:rsid w:val="00366720"/>
    <w:rsid w:val="003700AD"/>
    <w:rsid w:val="0037114E"/>
    <w:rsid w:val="0037117E"/>
    <w:rsid w:val="00374B2C"/>
    <w:rsid w:val="00376231"/>
    <w:rsid w:val="00376662"/>
    <w:rsid w:val="00377EF6"/>
    <w:rsid w:val="00383E90"/>
    <w:rsid w:val="00385CF6"/>
    <w:rsid w:val="00386C51"/>
    <w:rsid w:val="0039035F"/>
    <w:rsid w:val="00391443"/>
    <w:rsid w:val="00391D5A"/>
    <w:rsid w:val="00392319"/>
    <w:rsid w:val="0039273B"/>
    <w:rsid w:val="00392A73"/>
    <w:rsid w:val="00396F08"/>
    <w:rsid w:val="00396FAC"/>
    <w:rsid w:val="003A031D"/>
    <w:rsid w:val="003A08F4"/>
    <w:rsid w:val="003A2872"/>
    <w:rsid w:val="003A5AAB"/>
    <w:rsid w:val="003A5DB6"/>
    <w:rsid w:val="003A6199"/>
    <w:rsid w:val="003A703F"/>
    <w:rsid w:val="003A7114"/>
    <w:rsid w:val="003A74B0"/>
    <w:rsid w:val="003B0292"/>
    <w:rsid w:val="003B0A3A"/>
    <w:rsid w:val="003B1422"/>
    <w:rsid w:val="003B17C7"/>
    <w:rsid w:val="003B25C6"/>
    <w:rsid w:val="003B5215"/>
    <w:rsid w:val="003B56EC"/>
    <w:rsid w:val="003B6383"/>
    <w:rsid w:val="003B6C76"/>
    <w:rsid w:val="003B7181"/>
    <w:rsid w:val="003B7B60"/>
    <w:rsid w:val="003C2DB0"/>
    <w:rsid w:val="003C3166"/>
    <w:rsid w:val="003C3A29"/>
    <w:rsid w:val="003C4B36"/>
    <w:rsid w:val="003C5750"/>
    <w:rsid w:val="003C6B11"/>
    <w:rsid w:val="003C6C42"/>
    <w:rsid w:val="003C76B4"/>
    <w:rsid w:val="003D503C"/>
    <w:rsid w:val="003D7D74"/>
    <w:rsid w:val="003E126A"/>
    <w:rsid w:val="003E2727"/>
    <w:rsid w:val="003E30E2"/>
    <w:rsid w:val="003E3E93"/>
    <w:rsid w:val="003E5586"/>
    <w:rsid w:val="003E62E8"/>
    <w:rsid w:val="003E7D6E"/>
    <w:rsid w:val="003E7E35"/>
    <w:rsid w:val="003F12A0"/>
    <w:rsid w:val="003F19EB"/>
    <w:rsid w:val="003F3DC7"/>
    <w:rsid w:val="003F5EED"/>
    <w:rsid w:val="003F6158"/>
    <w:rsid w:val="003F639A"/>
    <w:rsid w:val="003F6ABD"/>
    <w:rsid w:val="003F6E95"/>
    <w:rsid w:val="003F735D"/>
    <w:rsid w:val="003F7B9B"/>
    <w:rsid w:val="0040034D"/>
    <w:rsid w:val="004022FB"/>
    <w:rsid w:val="004038D8"/>
    <w:rsid w:val="00406A70"/>
    <w:rsid w:val="0041032C"/>
    <w:rsid w:val="00412349"/>
    <w:rsid w:val="00415814"/>
    <w:rsid w:val="00416C4B"/>
    <w:rsid w:val="0042238C"/>
    <w:rsid w:val="004245C7"/>
    <w:rsid w:val="00425257"/>
    <w:rsid w:val="00430263"/>
    <w:rsid w:val="00430429"/>
    <w:rsid w:val="00431F00"/>
    <w:rsid w:val="0043308D"/>
    <w:rsid w:val="00433530"/>
    <w:rsid w:val="004360CB"/>
    <w:rsid w:val="004368FE"/>
    <w:rsid w:val="00436C78"/>
    <w:rsid w:val="00437A5A"/>
    <w:rsid w:val="00440462"/>
    <w:rsid w:val="00440BCA"/>
    <w:rsid w:val="00443CA8"/>
    <w:rsid w:val="0044473A"/>
    <w:rsid w:val="00445483"/>
    <w:rsid w:val="00445A93"/>
    <w:rsid w:val="00453812"/>
    <w:rsid w:val="0045521D"/>
    <w:rsid w:val="00456570"/>
    <w:rsid w:val="00456897"/>
    <w:rsid w:val="004568D6"/>
    <w:rsid w:val="00457FEF"/>
    <w:rsid w:val="004604DC"/>
    <w:rsid w:val="004610AB"/>
    <w:rsid w:val="0046217E"/>
    <w:rsid w:val="0046262D"/>
    <w:rsid w:val="00462F5A"/>
    <w:rsid w:val="00465904"/>
    <w:rsid w:val="00465B19"/>
    <w:rsid w:val="00466C99"/>
    <w:rsid w:val="00466FBD"/>
    <w:rsid w:val="004700A8"/>
    <w:rsid w:val="004713FD"/>
    <w:rsid w:val="00471FE8"/>
    <w:rsid w:val="004741F7"/>
    <w:rsid w:val="004747F7"/>
    <w:rsid w:val="004759C8"/>
    <w:rsid w:val="00475A8F"/>
    <w:rsid w:val="00476868"/>
    <w:rsid w:val="00477C92"/>
    <w:rsid w:val="00480DF5"/>
    <w:rsid w:val="00481924"/>
    <w:rsid w:val="00481D65"/>
    <w:rsid w:val="004820A9"/>
    <w:rsid w:val="00482170"/>
    <w:rsid w:val="004822A6"/>
    <w:rsid w:val="004829F7"/>
    <w:rsid w:val="00483594"/>
    <w:rsid w:val="0048448A"/>
    <w:rsid w:val="004857D3"/>
    <w:rsid w:val="00485CF7"/>
    <w:rsid w:val="00492CEB"/>
    <w:rsid w:val="004944C2"/>
    <w:rsid w:val="00494814"/>
    <w:rsid w:val="0049666D"/>
    <w:rsid w:val="004A0E06"/>
    <w:rsid w:val="004A17A4"/>
    <w:rsid w:val="004A3242"/>
    <w:rsid w:val="004A5F18"/>
    <w:rsid w:val="004A69E9"/>
    <w:rsid w:val="004B0483"/>
    <w:rsid w:val="004B36EC"/>
    <w:rsid w:val="004C17AE"/>
    <w:rsid w:val="004D2026"/>
    <w:rsid w:val="004D2632"/>
    <w:rsid w:val="004D637B"/>
    <w:rsid w:val="004D68CD"/>
    <w:rsid w:val="004D69F1"/>
    <w:rsid w:val="004D6B2A"/>
    <w:rsid w:val="004E0697"/>
    <w:rsid w:val="004E0884"/>
    <w:rsid w:val="004E3973"/>
    <w:rsid w:val="004F0510"/>
    <w:rsid w:val="004F0EBF"/>
    <w:rsid w:val="004F1152"/>
    <w:rsid w:val="004F48AA"/>
    <w:rsid w:val="004F51F3"/>
    <w:rsid w:val="004F6758"/>
    <w:rsid w:val="004F7211"/>
    <w:rsid w:val="005014B9"/>
    <w:rsid w:val="00502018"/>
    <w:rsid w:val="00502D16"/>
    <w:rsid w:val="0050387F"/>
    <w:rsid w:val="00503CBD"/>
    <w:rsid w:val="00506BE2"/>
    <w:rsid w:val="00510720"/>
    <w:rsid w:val="0051203D"/>
    <w:rsid w:val="005159F6"/>
    <w:rsid w:val="00521D56"/>
    <w:rsid w:val="00523A36"/>
    <w:rsid w:val="0052442D"/>
    <w:rsid w:val="00525FB7"/>
    <w:rsid w:val="005260C9"/>
    <w:rsid w:val="00526307"/>
    <w:rsid w:val="00526435"/>
    <w:rsid w:val="0052705C"/>
    <w:rsid w:val="005313E4"/>
    <w:rsid w:val="005326BC"/>
    <w:rsid w:val="005326D0"/>
    <w:rsid w:val="00532CC1"/>
    <w:rsid w:val="00533C9E"/>
    <w:rsid w:val="00535A69"/>
    <w:rsid w:val="00537168"/>
    <w:rsid w:val="0054185E"/>
    <w:rsid w:val="00542077"/>
    <w:rsid w:val="00543442"/>
    <w:rsid w:val="00543862"/>
    <w:rsid w:val="00544082"/>
    <w:rsid w:val="00544D1E"/>
    <w:rsid w:val="005453EC"/>
    <w:rsid w:val="00546405"/>
    <w:rsid w:val="00551978"/>
    <w:rsid w:val="00552385"/>
    <w:rsid w:val="00552878"/>
    <w:rsid w:val="00552FB0"/>
    <w:rsid w:val="00553016"/>
    <w:rsid w:val="005531BF"/>
    <w:rsid w:val="00554983"/>
    <w:rsid w:val="005570FC"/>
    <w:rsid w:val="005605B8"/>
    <w:rsid w:val="0056558B"/>
    <w:rsid w:val="00565AC7"/>
    <w:rsid w:val="00567556"/>
    <w:rsid w:val="00570A75"/>
    <w:rsid w:val="005711AE"/>
    <w:rsid w:val="005739E9"/>
    <w:rsid w:val="00574F63"/>
    <w:rsid w:val="005756D3"/>
    <w:rsid w:val="00580B7F"/>
    <w:rsid w:val="0058222E"/>
    <w:rsid w:val="0058339F"/>
    <w:rsid w:val="00584BCD"/>
    <w:rsid w:val="005861D7"/>
    <w:rsid w:val="00586389"/>
    <w:rsid w:val="00586A60"/>
    <w:rsid w:val="00586F9D"/>
    <w:rsid w:val="00587480"/>
    <w:rsid w:val="00587991"/>
    <w:rsid w:val="005906B9"/>
    <w:rsid w:val="005929A8"/>
    <w:rsid w:val="00593056"/>
    <w:rsid w:val="0059625D"/>
    <w:rsid w:val="00597C48"/>
    <w:rsid w:val="005A0C07"/>
    <w:rsid w:val="005A160D"/>
    <w:rsid w:val="005A26EF"/>
    <w:rsid w:val="005A29AD"/>
    <w:rsid w:val="005A30EF"/>
    <w:rsid w:val="005A33FC"/>
    <w:rsid w:val="005A5D10"/>
    <w:rsid w:val="005B00D8"/>
    <w:rsid w:val="005B02E3"/>
    <w:rsid w:val="005B1181"/>
    <w:rsid w:val="005B14C9"/>
    <w:rsid w:val="005B23FB"/>
    <w:rsid w:val="005B2B8F"/>
    <w:rsid w:val="005B328B"/>
    <w:rsid w:val="005C0403"/>
    <w:rsid w:val="005C08FE"/>
    <w:rsid w:val="005C3CC8"/>
    <w:rsid w:val="005C63D0"/>
    <w:rsid w:val="005C6E92"/>
    <w:rsid w:val="005C7D82"/>
    <w:rsid w:val="005D26D9"/>
    <w:rsid w:val="005D3EC7"/>
    <w:rsid w:val="005D5FF9"/>
    <w:rsid w:val="005D60E9"/>
    <w:rsid w:val="005D66CB"/>
    <w:rsid w:val="005D6F6C"/>
    <w:rsid w:val="005D7F78"/>
    <w:rsid w:val="005E170C"/>
    <w:rsid w:val="005E21CD"/>
    <w:rsid w:val="005E2996"/>
    <w:rsid w:val="005E351E"/>
    <w:rsid w:val="005E3DC3"/>
    <w:rsid w:val="005E4A86"/>
    <w:rsid w:val="005E4FE3"/>
    <w:rsid w:val="005F2EEA"/>
    <w:rsid w:val="005F34F4"/>
    <w:rsid w:val="005F7FF6"/>
    <w:rsid w:val="00601027"/>
    <w:rsid w:val="006014F2"/>
    <w:rsid w:val="006018A2"/>
    <w:rsid w:val="00601F3D"/>
    <w:rsid w:val="00602545"/>
    <w:rsid w:val="006025D1"/>
    <w:rsid w:val="00603EA6"/>
    <w:rsid w:val="00606B89"/>
    <w:rsid w:val="00611FCF"/>
    <w:rsid w:val="00613AB2"/>
    <w:rsid w:val="00614600"/>
    <w:rsid w:val="00615C75"/>
    <w:rsid w:val="00615CDE"/>
    <w:rsid w:val="006204EB"/>
    <w:rsid w:val="00623A27"/>
    <w:rsid w:val="00623DE6"/>
    <w:rsid w:val="00624270"/>
    <w:rsid w:val="00624FE5"/>
    <w:rsid w:val="00627D17"/>
    <w:rsid w:val="00630099"/>
    <w:rsid w:val="00641036"/>
    <w:rsid w:val="00642915"/>
    <w:rsid w:val="00642F73"/>
    <w:rsid w:val="00643781"/>
    <w:rsid w:val="00644AEC"/>
    <w:rsid w:val="006451AB"/>
    <w:rsid w:val="00646B89"/>
    <w:rsid w:val="006503FF"/>
    <w:rsid w:val="00651C47"/>
    <w:rsid w:val="006534B4"/>
    <w:rsid w:val="00653D3D"/>
    <w:rsid w:val="0065799B"/>
    <w:rsid w:val="0066141A"/>
    <w:rsid w:val="00662502"/>
    <w:rsid w:val="00663799"/>
    <w:rsid w:val="00664130"/>
    <w:rsid w:val="0066594A"/>
    <w:rsid w:val="00666042"/>
    <w:rsid w:val="00666BA1"/>
    <w:rsid w:val="00667103"/>
    <w:rsid w:val="0067159F"/>
    <w:rsid w:val="00673332"/>
    <w:rsid w:val="00673F90"/>
    <w:rsid w:val="00674BDE"/>
    <w:rsid w:val="006755A0"/>
    <w:rsid w:val="00676930"/>
    <w:rsid w:val="006807B1"/>
    <w:rsid w:val="00685036"/>
    <w:rsid w:val="00686402"/>
    <w:rsid w:val="006867C0"/>
    <w:rsid w:val="00690280"/>
    <w:rsid w:val="006909F1"/>
    <w:rsid w:val="00694284"/>
    <w:rsid w:val="006956B2"/>
    <w:rsid w:val="006967F4"/>
    <w:rsid w:val="00697C46"/>
    <w:rsid w:val="006A0FF7"/>
    <w:rsid w:val="006A68CB"/>
    <w:rsid w:val="006B424B"/>
    <w:rsid w:val="006B4C3E"/>
    <w:rsid w:val="006B5136"/>
    <w:rsid w:val="006B5E22"/>
    <w:rsid w:val="006C12AA"/>
    <w:rsid w:val="006C173F"/>
    <w:rsid w:val="006C4059"/>
    <w:rsid w:val="006C4568"/>
    <w:rsid w:val="006C4817"/>
    <w:rsid w:val="006C5D47"/>
    <w:rsid w:val="006C642F"/>
    <w:rsid w:val="006C7949"/>
    <w:rsid w:val="006C7C9B"/>
    <w:rsid w:val="006C7E7B"/>
    <w:rsid w:val="006D0030"/>
    <w:rsid w:val="006D2D71"/>
    <w:rsid w:val="006D64C9"/>
    <w:rsid w:val="006D6A61"/>
    <w:rsid w:val="006E1328"/>
    <w:rsid w:val="006E1F5C"/>
    <w:rsid w:val="006E25CC"/>
    <w:rsid w:val="006E6D6C"/>
    <w:rsid w:val="006F337D"/>
    <w:rsid w:val="006F7346"/>
    <w:rsid w:val="0070146D"/>
    <w:rsid w:val="007014B0"/>
    <w:rsid w:val="00701A4A"/>
    <w:rsid w:val="00702658"/>
    <w:rsid w:val="00703939"/>
    <w:rsid w:val="00704523"/>
    <w:rsid w:val="00706456"/>
    <w:rsid w:val="0070769B"/>
    <w:rsid w:val="00707A98"/>
    <w:rsid w:val="0071066B"/>
    <w:rsid w:val="00710D0F"/>
    <w:rsid w:val="00711BDF"/>
    <w:rsid w:val="00714289"/>
    <w:rsid w:val="007154AF"/>
    <w:rsid w:val="00715E2B"/>
    <w:rsid w:val="00717BE1"/>
    <w:rsid w:val="00720E7C"/>
    <w:rsid w:val="00721A03"/>
    <w:rsid w:val="00721DB4"/>
    <w:rsid w:val="00722E37"/>
    <w:rsid w:val="007250CB"/>
    <w:rsid w:val="00725CC8"/>
    <w:rsid w:val="00730DFA"/>
    <w:rsid w:val="007334C5"/>
    <w:rsid w:val="00733937"/>
    <w:rsid w:val="007406E9"/>
    <w:rsid w:val="00741C81"/>
    <w:rsid w:val="00743EE4"/>
    <w:rsid w:val="00750C30"/>
    <w:rsid w:val="00754B2C"/>
    <w:rsid w:val="0075637C"/>
    <w:rsid w:val="007636D5"/>
    <w:rsid w:val="0076425B"/>
    <w:rsid w:val="0076498B"/>
    <w:rsid w:val="0076699F"/>
    <w:rsid w:val="007737E8"/>
    <w:rsid w:val="00773F1C"/>
    <w:rsid w:val="007819E0"/>
    <w:rsid w:val="00781C33"/>
    <w:rsid w:val="007824C4"/>
    <w:rsid w:val="00782551"/>
    <w:rsid w:val="007842A7"/>
    <w:rsid w:val="007844A7"/>
    <w:rsid w:val="007845F3"/>
    <w:rsid w:val="00786E96"/>
    <w:rsid w:val="00787E38"/>
    <w:rsid w:val="0079194F"/>
    <w:rsid w:val="00791994"/>
    <w:rsid w:val="00793CDC"/>
    <w:rsid w:val="00795C01"/>
    <w:rsid w:val="00795DD9"/>
    <w:rsid w:val="0079637F"/>
    <w:rsid w:val="007979AB"/>
    <w:rsid w:val="007A2278"/>
    <w:rsid w:val="007A364E"/>
    <w:rsid w:val="007A4DC4"/>
    <w:rsid w:val="007A52FB"/>
    <w:rsid w:val="007A63E3"/>
    <w:rsid w:val="007B1221"/>
    <w:rsid w:val="007B1284"/>
    <w:rsid w:val="007B18A1"/>
    <w:rsid w:val="007B48CF"/>
    <w:rsid w:val="007B5332"/>
    <w:rsid w:val="007B7E80"/>
    <w:rsid w:val="007C054E"/>
    <w:rsid w:val="007C0B7E"/>
    <w:rsid w:val="007C114D"/>
    <w:rsid w:val="007C69FD"/>
    <w:rsid w:val="007C6C91"/>
    <w:rsid w:val="007C7223"/>
    <w:rsid w:val="007D125B"/>
    <w:rsid w:val="007D5BF3"/>
    <w:rsid w:val="007D6ECA"/>
    <w:rsid w:val="007E1667"/>
    <w:rsid w:val="007E1CC6"/>
    <w:rsid w:val="007F0E40"/>
    <w:rsid w:val="007F14EC"/>
    <w:rsid w:val="007F1618"/>
    <w:rsid w:val="007F2637"/>
    <w:rsid w:val="007F338A"/>
    <w:rsid w:val="007F36B6"/>
    <w:rsid w:val="007F3B5F"/>
    <w:rsid w:val="007F4154"/>
    <w:rsid w:val="007F47A2"/>
    <w:rsid w:val="007F4901"/>
    <w:rsid w:val="007F697C"/>
    <w:rsid w:val="007F6C30"/>
    <w:rsid w:val="0080047E"/>
    <w:rsid w:val="0080074B"/>
    <w:rsid w:val="008018C8"/>
    <w:rsid w:val="0080301B"/>
    <w:rsid w:val="008042B2"/>
    <w:rsid w:val="00805052"/>
    <w:rsid w:val="0080617B"/>
    <w:rsid w:val="008069A0"/>
    <w:rsid w:val="00807A18"/>
    <w:rsid w:val="00814F04"/>
    <w:rsid w:val="00820FFE"/>
    <w:rsid w:val="008216A4"/>
    <w:rsid w:val="00821729"/>
    <w:rsid w:val="00822B20"/>
    <w:rsid w:val="00825614"/>
    <w:rsid w:val="0082589A"/>
    <w:rsid w:val="00827C50"/>
    <w:rsid w:val="0083128F"/>
    <w:rsid w:val="008313B3"/>
    <w:rsid w:val="0083233E"/>
    <w:rsid w:val="00832923"/>
    <w:rsid w:val="00833A89"/>
    <w:rsid w:val="00837B8C"/>
    <w:rsid w:val="00840B91"/>
    <w:rsid w:val="00842B30"/>
    <w:rsid w:val="00842E4D"/>
    <w:rsid w:val="00844AAE"/>
    <w:rsid w:val="00844B62"/>
    <w:rsid w:val="00846512"/>
    <w:rsid w:val="00846E97"/>
    <w:rsid w:val="00847AD0"/>
    <w:rsid w:val="0085007A"/>
    <w:rsid w:val="00851258"/>
    <w:rsid w:val="00853880"/>
    <w:rsid w:val="00854455"/>
    <w:rsid w:val="008552F4"/>
    <w:rsid w:val="00855377"/>
    <w:rsid w:val="008554E4"/>
    <w:rsid w:val="00856D4C"/>
    <w:rsid w:val="008616A8"/>
    <w:rsid w:val="00861A34"/>
    <w:rsid w:val="00862035"/>
    <w:rsid w:val="00862D3E"/>
    <w:rsid w:val="00864FAA"/>
    <w:rsid w:val="00865AFC"/>
    <w:rsid w:val="008702B8"/>
    <w:rsid w:val="00871E31"/>
    <w:rsid w:val="008752B2"/>
    <w:rsid w:val="00876781"/>
    <w:rsid w:val="00880179"/>
    <w:rsid w:val="00880C8C"/>
    <w:rsid w:val="008837CE"/>
    <w:rsid w:val="0088431A"/>
    <w:rsid w:val="0088769C"/>
    <w:rsid w:val="00887C3F"/>
    <w:rsid w:val="0089093E"/>
    <w:rsid w:val="008934E6"/>
    <w:rsid w:val="00893518"/>
    <w:rsid w:val="00894FE7"/>
    <w:rsid w:val="0089626C"/>
    <w:rsid w:val="008970F7"/>
    <w:rsid w:val="00897782"/>
    <w:rsid w:val="008A1083"/>
    <w:rsid w:val="008A250C"/>
    <w:rsid w:val="008A2A01"/>
    <w:rsid w:val="008A2B24"/>
    <w:rsid w:val="008A36E1"/>
    <w:rsid w:val="008A46BD"/>
    <w:rsid w:val="008A4897"/>
    <w:rsid w:val="008A4ECF"/>
    <w:rsid w:val="008A6750"/>
    <w:rsid w:val="008B2828"/>
    <w:rsid w:val="008B42B1"/>
    <w:rsid w:val="008B460D"/>
    <w:rsid w:val="008B48C3"/>
    <w:rsid w:val="008B5536"/>
    <w:rsid w:val="008B5CE9"/>
    <w:rsid w:val="008B6003"/>
    <w:rsid w:val="008B65C3"/>
    <w:rsid w:val="008C0F24"/>
    <w:rsid w:val="008C2934"/>
    <w:rsid w:val="008C316A"/>
    <w:rsid w:val="008C5F82"/>
    <w:rsid w:val="008D04F8"/>
    <w:rsid w:val="008D085B"/>
    <w:rsid w:val="008D18FC"/>
    <w:rsid w:val="008D1970"/>
    <w:rsid w:val="008D2AA0"/>
    <w:rsid w:val="008D3EF3"/>
    <w:rsid w:val="008D458D"/>
    <w:rsid w:val="008D4BA8"/>
    <w:rsid w:val="008D4DFF"/>
    <w:rsid w:val="008D4FBD"/>
    <w:rsid w:val="008D5A8B"/>
    <w:rsid w:val="008D6CB0"/>
    <w:rsid w:val="008D741A"/>
    <w:rsid w:val="008D78D6"/>
    <w:rsid w:val="008E19D9"/>
    <w:rsid w:val="008E384A"/>
    <w:rsid w:val="008E49AF"/>
    <w:rsid w:val="008E4E8E"/>
    <w:rsid w:val="008E52BB"/>
    <w:rsid w:val="008E5391"/>
    <w:rsid w:val="008E5E97"/>
    <w:rsid w:val="008E6209"/>
    <w:rsid w:val="008E671E"/>
    <w:rsid w:val="008E750C"/>
    <w:rsid w:val="008E7970"/>
    <w:rsid w:val="008F1E7E"/>
    <w:rsid w:val="008F2AD7"/>
    <w:rsid w:val="008F3812"/>
    <w:rsid w:val="008F42E2"/>
    <w:rsid w:val="008F70E1"/>
    <w:rsid w:val="008F7268"/>
    <w:rsid w:val="0090046E"/>
    <w:rsid w:val="0090086E"/>
    <w:rsid w:val="00902340"/>
    <w:rsid w:val="00902D7F"/>
    <w:rsid w:val="00903C53"/>
    <w:rsid w:val="00904C2F"/>
    <w:rsid w:val="00910447"/>
    <w:rsid w:val="00910633"/>
    <w:rsid w:val="00910651"/>
    <w:rsid w:val="0091072A"/>
    <w:rsid w:val="00910F60"/>
    <w:rsid w:val="00911665"/>
    <w:rsid w:val="009140A5"/>
    <w:rsid w:val="00915834"/>
    <w:rsid w:val="009163CF"/>
    <w:rsid w:val="00916604"/>
    <w:rsid w:val="00921C71"/>
    <w:rsid w:val="00921F63"/>
    <w:rsid w:val="00924BBD"/>
    <w:rsid w:val="00926828"/>
    <w:rsid w:val="009279D4"/>
    <w:rsid w:val="00927F4E"/>
    <w:rsid w:val="00931DD5"/>
    <w:rsid w:val="00935321"/>
    <w:rsid w:val="00935369"/>
    <w:rsid w:val="0093554D"/>
    <w:rsid w:val="00936CB1"/>
    <w:rsid w:val="00936D9F"/>
    <w:rsid w:val="00936EF5"/>
    <w:rsid w:val="00937569"/>
    <w:rsid w:val="00937E25"/>
    <w:rsid w:val="00941581"/>
    <w:rsid w:val="00944BBA"/>
    <w:rsid w:val="00944EAD"/>
    <w:rsid w:val="00945BD7"/>
    <w:rsid w:val="00946283"/>
    <w:rsid w:val="0094671E"/>
    <w:rsid w:val="009467B1"/>
    <w:rsid w:val="00951495"/>
    <w:rsid w:val="00951E1F"/>
    <w:rsid w:val="00954905"/>
    <w:rsid w:val="00955253"/>
    <w:rsid w:val="00957817"/>
    <w:rsid w:val="009579BF"/>
    <w:rsid w:val="00957FBB"/>
    <w:rsid w:val="00961168"/>
    <w:rsid w:val="00962156"/>
    <w:rsid w:val="0096220D"/>
    <w:rsid w:val="009652F0"/>
    <w:rsid w:val="0097081A"/>
    <w:rsid w:val="009727A9"/>
    <w:rsid w:val="0097326D"/>
    <w:rsid w:val="0097358B"/>
    <w:rsid w:val="00973CB8"/>
    <w:rsid w:val="00976001"/>
    <w:rsid w:val="009764E4"/>
    <w:rsid w:val="00977078"/>
    <w:rsid w:val="00981492"/>
    <w:rsid w:val="00983775"/>
    <w:rsid w:val="00986150"/>
    <w:rsid w:val="00986406"/>
    <w:rsid w:val="0098640C"/>
    <w:rsid w:val="00986587"/>
    <w:rsid w:val="00987A93"/>
    <w:rsid w:val="00987FD4"/>
    <w:rsid w:val="009908C9"/>
    <w:rsid w:val="00992498"/>
    <w:rsid w:val="00993093"/>
    <w:rsid w:val="00996A68"/>
    <w:rsid w:val="009A17FD"/>
    <w:rsid w:val="009A4878"/>
    <w:rsid w:val="009A7B86"/>
    <w:rsid w:val="009B3D40"/>
    <w:rsid w:val="009B44D9"/>
    <w:rsid w:val="009B470F"/>
    <w:rsid w:val="009B611D"/>
    <w:rsid w:val="009C0AD0"/>
    <w:rsid w:val="009C1B17"/>
    <w:rsid w:val="009C347C"/>
    <w:rsid w:val="009C42A3"/>
    <w:rsid w:val="009C4B46"/>
    <w:rsid w:val="009C51D3"/>
    <w:rsid w:val="009C5C09"/>
    <w:rsid w:val="009C64F0"/>
    <w:rsid w:val="009C74F5"/>
    <w:rsid w:val="009C76C3"/>
    <w:rsid w:val="009D388A"/>
    <w:rsid w:val="009D51F4"/>
    <w:rsid w:val="009D6290"/>
    <w:rsid w:val="009E0F6E"/>
    <w:rsid w:val="009E414E"/>
    <w:rsid w:val="009E61C9"/>
    <w:rsid w:val="009F17EA"/>
    <w:rsid w:val="009F21CD"/>
    <w:rsid w:val="009F2E4E"/>
    <w:rsid w:val="009F49D6"/>
    <w:rsid w:val="009F504D"/>
    <w:rsid w:val="009F5A33"/>
    <w:rsid w:val="009F5FFE"/>
    <w:rsid w:val="009F6D1B"/>
    <w:rsid w:val="00A02421"/>
    <w:rsid w:val="00A06692"/>
    <w:rsid w:val="00A11588"/>
    <w:rsid w:val="00A118D1"/>
    <w:rsid w:val="00A1246C"/>
    <w:rsid w:val="00A12B85"/>
    <w:rsid w:val="00A139DB"/>
    <w:rsid w:val="00A1473B"/>
    <w:rsid w:val="00A16335"/>
    <w:rsid w:val="00A172E9"/>
    <w:rsid w:val="00A21DB1"/>
    <w:rsid w:val="00A21E09"/>
    <w:rsid w:val="00A220F4"/>
    <w:rsid w:val="00A23025"/>
    <w:rsid w:val="00A232AF"/>
    <w:rsid w:val="00A251ED"/>
    <w:rsid w:val="00A252A0"/>
    <w:rsid w:val="00A2553D"/>
    <w:rsid w:val="00A269C1"/>
    <w:rsid w:val="00A30EC7"/>
    <w:rsid w:val="00A32439"/>
    <w:rsid w:val="00A32834"/>
    <w:rsid w:val="00A37D18"/>
    <w:rsid w:val="00A41433"/>
    <w:rsid w:val="00A41CA6"/>
    <w:rsid w:val="00A41E0C"/>
    <w:rsid w:val="00A43061"/>
    <w:rsid w:val="00A442A2"/>
    <w:rsid w:val="00A4586E"/>
    <w:rsid w:val="00A502CC"/>
    <w:rsid w:val="00A5097B"/>
    <w:rsid w:val="00A51650"/>
    <w:rsid w:val="00A51F72"/>
    <w:rsid w:val="00A53862"/>
    <w:rsid w:val="00A538FE"/>
    <w:rsid w:val="00A54733"/>
    <w:rsid w:val="00A54EDF"/>
    <w:rsid w:val="00A62222"/>
    <w:rsid w:val="00A62AEA"/>
    <w:rsid w:val="00A6350D"/>
    <w:rsid w:val="00A6359E"/>
    <w:rsid w:val="00A63EDF"/>
    <w:rsid w:val="00A63FF1"/>
    <w:rsid w:val="00A64BD9"/>
    <w:rsid w:val="00A6696F"/>
    <w:rsid w:val="00A67E0B"/>
    <w:rsid w:val="00A70EA0"/>
    <w:rsid w:val="00A71393"/>
    <w:rsid w:val="00A71A7F"/>
    <w:rsid w:val="00A73215"/>
    <w:rsid w:val="00A74595"/>
    <w:rsid w:val="00A74A70"/>
    <w:rsid w:val="00A74ABC"/>
    <w:rsid w:val="00A7584A"/>
    <w:rsid w:val="00A76A6F"/>
    <w:rsid w:val="00A825A4"/>
    <w:rsid w:val="00A836AA"/>
    <w:rsid w:val="00A838D4"/>
    <w:rsid w:val="00A83E7C"/>
    <w:rsid w:val="00A841E1"/>
    <w:rsid w:val="00A84329"/>
    <w:rsid w:val="00A8441A"/>
    <w:rsid w:val="00A848B7"/>
    <w:rsid w:val="00A852A3"/>
    <w:rsid w:val="00A86656"/>
    <w:rsid w:val="00A9296A"/>
    <w:rsid w:val="00A93608"/>
    <w:rsid w:val="00A9384D"/>
    <w:rsid w:val="00A959A6"/>
    <w:rsid w:val="00A97C91"/>
    <w:rsid w:val="00AA1A1E"/>
    <w:rsid w:val="00AA20F3"/>
    <w:rsid w:val="00AA4297"/>
    <w:rsid w:val="00AA57DC"/>
    <w:rsid w:val="00AA5848"/>
    <w:rsid w:val="00AA5D11"/>
    <w:rsid w:val="00AA6E8A"/>
    <w:rsid w:val="00AB0AA5"/>
    <w:rsid w:val="00AB12C0"/>
    <w:rsid w:val="00AB1AC4"/>
    <w:rsid w:val="00AB1E8C"/>
    <w:rsid w:val="00AB2FC5"/>
    <w:rsid w:val="00AB3CD7"/>
    <w:rsid w:val="00AB3FA0"/>
    <w:rsid w:val="00AB5096"/>
    <w:rsid w:val="00AB6B79"/>
    <w:rsid w:val="00AC00C5"/>
    <w:rsid w:val="00AC036A"/>
    <w:rsid w:val="00AC043B"/>
    <w:rsid w:val="00AC1215"/>
    <w:rsid w:val="00AC4324"/>
    <w:rsid w:val="00AC4890"/>
    <w:rsid w:val="00AC6203"/>
    <w:rsid w:val="00AD0FAF"/>
    <w:rsid w:val="00AD1735"/>
    <w:rsid w:val="00AD1E7A"/>
    <w:rsid w:val="00AD2A76"/>
    <w:rsid w:val="00AD2B23"/>
    <w:rsid w:val="00AD3A67"/>
    <w:rsid w:val="00AD3AAC"/>
    <w:rsid w:val="00AD56FA"/>
    <w:rsid w:val="00AD75EA"/>
    <w:rsid w:val="00AD7E4F"/>
    <w:rsid w:val="00AE1E24"/>
    <w:rsid w:val="00AE2A9B"/>
    <w:rsid w:val="00AE542A"/>
    <w:rsid w:val="00AE5D50"/>
    <w:rsid w:val="00AE63E5"/>
    <w:rsid w:val="00AE7211"/>
    <w:rsid w:val="00AE7BA9"/>
    <w:rsid w:val="00AE7BB7"/>
    <w:rsid w:val="00AF062F"/>
    <w:rsid w:val="00AF198C"/>
    <w:rsid w:val="00AF3B00"/>
    <w:rsid w:val="00AF7942"/>
    <w:rsid w:val="00B03339"/>
    <w:rsid w:val="00B04324"/>
    <w:rsid w:val="00B05545"/>
    <w:rsid w:val="00B05D81"/>
    <w:rsid w:val="00B06277"/>
    <w:rsid w:val="00B06896"/>
    <w:rsid w:val="00B073E0"/>
    <w:rsid w:val="00B079E9"/>
    <w:rsid w:val="00B120D1"/>
    <w:rsid w:val="00B13840"/>
    <w:rsid w:val="00B13FC3"/>
    <w:rsid w:val="00B145A6"/>
    <w:rsid w:val="00B16426"/>
    <w:rsid w:val="00B175B1"/>
    <w:rsid w:val="00B21F07"/>
    <w:rsid w:val="00B22E35"/>
    <w:rsid w:val="00B2763C"/>
    <w:rsid w:val="00B27BCB"/>
    <w:rsid w:val="00B31294"/>
    <w:rsid w:val="00B32DF1"/>
    <w:rsid w:val="00B36045"/>
    <w:rsid w:val="00B36B39"/>
    <w:rsid w:val="00B37EE2"/>
    <w:rsid w:val="00B40910"/>
    <w:rsid w:val="00B41A16"/>
    <w:rsid w:val="00B43D65"/>
    <w:rsid w:val="00B44403"/>
    <w:rsid w:val="00B46B58"/>
    <w:rsid w:val="00B520B7"/>
    <w:rsid w:val="00B53EDE"/>
    <w:rsid w:val="00B5627F"/>
    <w:rsid w:val="00B572D2"/>
    <w:rsid w:val="00B57823"/>
    <w:rsid w:val="00B60791"/>
    <w:rsid w:val="00B61009"/>
    <w:rsid w:val="00B6235B"/>
    <w:rsid w:val="00B62405"/>
    <w:rsid w:val="00B62790"/>
    <w:rsid w:val="00B63148"/>
    <w:rsid w:val="00B63CCE"/>
    <w:rsid w:val="00B63D0E"/>
    <w:rsid w:val="00B64D9F"/>
    <w:rsid w:val="00B67275"/>
    <w:rsid w:val="00B70735"/>
    <w:rsid w:val="00B723A9"/>
    <w:rsid w:val="00B731CD"/>
    <w:rsid w:val="00B743C0"/>
    <w:rsid w:val="00B74447"/>
    <w:rsid w:val="00B76251"/>
    <w:rsid w:val="00B82854"/>
    <w:rsid w:val="00B8338B"/>
    <w:rsid w:val="00B85A6B"/>
    <w:rsid w:val="00B85FD6"/>
    <w:rsid w:val="00B8655B"/>
    <w:rsid w:val="00B900A1"/>
    <w:rsid w:val="00B91F61"/>
    <w:rsid w:val="00B9471E"/>
    <w:rsid w:val="00B95D36"/>
    <w:rsid w:val="00B96B80"/>
    <w:rsid w:val="00B973CF"/>
    <w:rsid w:val="00B975DA"/>
    <w:rsid w:val="00B977A4"/>
    <w:rsid w:val="00B97C7E"/>
    <w:rsid w:val="00BA16A7"/>
    <w:rsid w:val="00BA347F"/>
    <w:rsid w:val="00BA4C98"/>
    <w:rsid w:val="00BA4DF6"/>
    <w:rsid w:val="00BA7168"/>
    <w:rsid w:val="00BA7C7C"/>
    <w:rsid w:val="00BB028C"/>
    <w:rsid w:val="00BB3A88"/>
    <w:rsid w:val="00BB3DB2"/>
    <w:rsid w:val="00BB6CB2"/>
    <w:rsid w:val="00BB79E5"/>
    <w:rsid w:val="00BC1F8F"/>
    <w:rsid w:val="00BC6D92"/>
    <w:rsid w:val="00BD1863"/>
    <w:rsid w:val="00BD19D6"/>
    <w:rsid w:val="00BD2078"/>
    <w:rsid w:val="00BD3DDD"/>
    <w:rsid w:val="00BD59B3"/>
    <w:rsid w:val="00BE0747"/>
    <w:rsid w:val="00BE0B98"/>
    <w:rsid w:val="00BE2809"/>
    <w:rsid w:val="00BE32C9"/>
    <w:rsid w:val="00BF1324"/>
    <w:rsid w:val="00BF30AF"/>
    <w:rsid w:val="00C0089F"/>
    <w:rsid w:val="00C016D8"/>
    <w:rsid w:val="00C02C2D"/>
    <w:rsid w:val="00C02E8A"/>
    <w:rsid w:val="00C02FFA"/>
    <w:rsid w:val="00C0511D"/>
    <w:rsid w:val="00C05B56"/>
    <w:rsid w:val="00C0622D"/>
    <w:rsid w:val="00C06C7B"/>
    <w:rsid w:val="00C103AC"/>
    <w:rsid w:val="00C103E5"/>
    <w:rsid w:val="00C10F83"/>
    <w:rsid w:val="00C11ADC"/>
    <w:rsid w:val="00C162AD"/>
    <w:rsid w:val="00C16C36"/>
    <w:rsid w:val="00C20178"/>
    <w:rsid w:val="00C20578"/>
    <w:rsid w:val="00C226C4"/>
    <w:rsid w:val="00C24165"/>
    <w:rsid w:val="00C25617"/>
    <w:rsid w:val="00C2659C"/>
    <w:rsid w:val="00C26672"/>
    <w:rsid w:val="00C26F8E"/>
    <w:rsid w:val="00C27B95"/>
    <w:rsid w:val="00C27CC6"/>
    <w:rsid w:val="00C32752"/>
    <w:rsid w:val="00C32EF5"/>
    <w:rsid w:val="00C34F3B"/>
    <w:rsid w:val="00C35297"/>
    <w:rsid w:val="00C4148D"/>
    <w:rsid w:val="00C45C10"/>
    <w:rsid w:val="00C51C93"/>
    <w:rsid w:val="00C54EC9"/>
    <w:rsid w:val="00C557FA"/>
    <w:rsid w:val="00C5614A"/>
    <w:rsid w:val="00C56166"/>
    <w:rsid w:val="00C57E11"/>
    <w:rsid w:val="00C604F5"/>
    <w:rsid w:val="00C62591"/>
    <w:rsid w:val="00C66F8E"/>
    <w:rsid w:val="00C67293"/>
    <w:rsid w:val="00C70027"/>
    <w:rsid w:val="00C703FF"/>
    <w:rsid w:val="00C7107D"/>
    <w:rsid w:val="00C71782"/>
    <w:rsid w:val="00C72346"/>
    <w:rsid w:val="00C75BE7"/>
    <w:rsid w:val="00C770B2"/>
    <w:rsid w:val="00C776FA"/>
    <w:rsid w:val="00C80D07"/>
    <w:rsid w:val="00C815F1"/>
    <w:rsid w:val="00C818DB"/>
    <w:rsid w:val="00C82EB1"/>
    <w:rsid w:val="00C8361F"/>
    <w:rsid w:val="00C83DD7"/>
    <w:rsid w:val="00C83E4D"/>
    <w:rsid w:val="00C851AE"/>
    <w:rsid w:val="00C867A1"/>
    <w:rsid w:val="00C86A66"/>
    <w:rsid w:val="00C93409"/>
    <w:rsid w:val="00C95781"/>
    <w:rsid w:val="00C95F96"/>
    <w:rsid w:val="00C96343"/>
    <w:rsid w:val="00CA2119"/>
    <w:rsid w:val="00CA4204"/>
    <w:rsid w:val="00CA6112"/>
    <w:rsid w:val="00CA6F99"/>
    <w:rsid w:val="00CB01D1"/>
    <w:rsid w:val="00CB025A"/>
    <w:rsid w:val="00CB03D7"/>
    <w:rsid w:val="00CB0EFD"/>
    <w:rsid w:val="00CB124F"/>
    <w:rsid w:val="00CB61EC"/>
    <w:rsid w:val="00CB6268"/>
    <w:rsid w:val="00CB7BB8"/>
    <w:rsid w:val="00CB7D41"/>
    <w:rsid w:val="00CB7E96"/>
    <w:rsid w:val="00CB7ED8"/>
    <w:rsid w:val="00CC0E96"/>
    <w:rsid w:val="00CC102A"/>
    <w:rsid w:val="00CC42E1"/>
    <w:rsid w:val="00CC55D6"/>
    <w:rsid w:val="00CC79C9"/>
    <w:rsid w:val="00CD1087"/>
    <w:rsid w:val="00CD382E"/>
    <w:rsid w:val="00CD42A3"/>
    <w:rsid w:val="00CD4938"/>
    <w:rsid w:val="00CD5C98"/>
    <w:rsid w:val="00CD6625"/>
    <w:rsid w:val="00CD6A74"/>
    <w:rsid w:val="00CE034C"/>
    <w:rsid w:val="00CE3434"/>
    <w:rsid w:val="00CE58B2"/>
    <w:rsid w:val="00CE660D"/>
    <w:rsid w:val="00CE76F7"/>
    <w:rsid w:val="00CF1837"/>
    <w:rsid w:val="00CF194E"/>
    <w:rsid w:val="00CF7337"/>
    <w:rsid w:val="00CF7585"/>
    <w:rsid w:val="00D02DA3"/>
    <w:rsid w:val="00D04FDB"/>
    <w:rsid w:val="00D06293"/>
    <w:rsid w:val="00D106C0"/>
    <w:rsid w:val="00D11AC6"/>
    <w:rsid w:val="00D120FF"/>
    <w:rsid w:val="00D12C3A"/>
    <w:rsid w:val="00D14624"/>
    <w:rsid w:val="00D1558F"/>
    <w:rsid w:val="00D16884"/>
    <w:rsid w:val="00D16998"/>
    <w:rsid w:val="00D213AF"/>
    <w:rsid w:val="00D219C0"/>
    <w:rsid w:val="00D22305"/>
    <w:rsid w:val="00D22D76"/>
    <w:rsid w:val="00D23315"/>
    <w:rsid w:val="00D23B71"/>
    <w:rsid w:val="00D264C0"/>
    <w:rsid w:val="00D26A41"/>
    <w:rsid w:val="00D27175"/>
    <w:rsid w:val="00D277D0"/>
    <w:rsid w:val="00D306BF"/>
    <w:rsid w:val="00D318F9"/>
    <w:rsid w:val="00D31B01"/>
    <w:rsid w:val="00D334A1"/>
    <w:rsid w:val="00D33E0C"/>
    <w:rsid w:val="00D3440D"/>
    <w:rsid w:val="00D34AA6"/>
    <w:rsid w:val="00D34D52"/>
    <w:rsid w:val="00D35B3A"/>
    <w:rsid w:val="00D3669F"/>
    <w:rsid w:val="00D40110"/>
    <w:rsid w:val="00D4020C"/>
    <w:rsid w:val="00D4151C"/>
    <w:rsid w:val="00D42DB4"/>
    <w:rsid w:val="00D43793"/>
    <w:rsid w:val="00D44C1E"/>
    <w:rsid w:val="00D465AE"/>
    <w:rsid w:val="00D465D8"/>
    <w:rsid w:val="00D5002D"/>
    <w:rsid w:val="00D516A6"/>
    <w:rsid w:val="00D523ED"/>
    <w:rsid w:val="00D524B5"/>
    <w:rsid w:val="00D54A8D"/>
    <w:rsid w:val="00D623CF"/>
    <w:rsid w:val="00D65FE8"/>
    <w:rsid w:val="00D66C23"/>
    <w:rsid w:val="00D72094"/>
    <w:rsid w:val="00D72888"/>
    <w:rsid w:val="00D730F1"/>
    <w:rsid w:val="00D741F6"/>
    <w:rsid w:val="00D857DF"/>
    <w:rsid w:val="00D85C00"/>
    <w:rsid w:val="00D86137"/>
    <w:rsid w:val="00D8622C"/>
    <w:rsid w:val="00D9188F"/>
    <w:rsid w:val="00D936C6"/>
    <w:rsid w:val="00DA0937"/>
    <w:rsid w:val="00DA498D"/>
    <w:rsid w:val="00DA5500"/>
    <w:rsid w:val="00DA6417"/>
    <w:rsid w:val="00DA69B7"/>
    <w:rsid w:val="00DB16F7"/>
    <w:rsid w:val="00DB220A"/>
    <w:rsid w:val="00DB22C4"/>
    <w:rsid w:val="00DB3E86"/>
    <w:rsid w:val="00DB53AB"/>
    <w:rsid w:val="00DB53BC"/>
    <w:rsid w:val="00DB56EB"/>
    <w:rsid w:val="00DB5C9A"/>
    <w:rsid w:val="00DB5E19"/>
    <w:rsid w:val="00DB72B9"/>
    <w:rsid w:val="00DC17E4"/>
    <w:rsid w:val="00DC2637"/>
    <w:rsid w:val="00DC28A7"/>
    <w:rsid w:val="00DC7419"/>
    <w:rsid w:val="00DC7A56"/>
    <w:rsid w:val="00DD15D3"/>
    <w:rsid w:val="00DD26E4"/>
    <w:rsid w:val="00DD2BBB"/>
    <w:rsid w:val="00DD4694"/>
    <w:rsid w:val="00DD5083"/>
    <w:rsid w:val="00DE084A"/>
    <w:rsid w:val="00DE0A6E"/>
    <w:rsid w:val="00DE1806"/>
    <w:rsid w:val="00DE4D62"/>
    <w:rsid w:val="00DE64FC"/>
    <w:rsid w:val="00DE65BE"/>
    <w:rsid w:val="00DE7839"/>
    <w:rsid w:val="00DF0DAC"/>
    <w:rsid w:val="00DF3B49"/>
    <w:rsid w:val="00DF4D92"/>
    <w:rsid w:val="00DF5828"/>
    <w:rsid w:val="00DF6425"/>
    <w:rsid w:val="00E03C78"/>
    <w:rsid w:val="00E0732D"/>
    <w:rsid w:val="00E10930"/>
    <w:rsid w:val="00E11892"/>
    <w:rsid w:val="00E11FC4"/>
    <w:rsid w:val="00E12767"/>
    <w:rsid w:val="00E13032"/>
    <w:rsid w:val="00E156B4"/>
    <w:rsid w:val="00E15ECA"/>
    <w:rsid w:val="00E163DA"/>
    <w:rsid w:val="00E16770"/>
    <w:rsid w:val="00E17891"/>
    <w:rsid w:val="00E17E4D"/>
    <w:rsid w:val="00E202AD"/>
    <w:rsid w:val="00E216CE"/>
    <w:rsid w:val="00E2199C"/>
    <w:rsid w:val="00E25869"/>
    <w:rsid w:val="00E25C9C"/>
    <w:rsid w:val="00E27A06"/>
    <w:rsid w:val="00E30E97"/>
    <w:rsid w:val="00E331A4"/>
    <w:rsid w:val="00E33261"/>
    <w:rsid w:val="00E34475"/>
    <w:rsid w:val="00E378F2"/>
    <w:rsid w:val="00E401BA"/>
    <w:rsid w:val="00E405DC"/>
    <w:rsid w:val="00E40B8A"/>
    <w:rsid w:val="00E40DAA"/>
    <w:rsid w:val="00E43D4B"/>
    <w:rsid w:val="00E45508"/>
    <w:rsid w:val="00E45FE7"/>
    <w:rsid w:val="00E47302"/>
    <w:rsid w:val="00E47448"/>
    <w:rsid w:val="00E47DCF"/>
    <w:rsid w:val="00E564F3"/>
    <w:rsid w:val="00E57759"/>
    <w:rsid w:val="00E57A62"/>
    <w:rsid w:val="00E600EE"/>
    <w:rsid w:val="00E61819"/>
    <w:rsid w:val="00E63717"/>
    <w:rsid w:val="00E65312"/>
    <w:rsid w:val="00E657A2"/>
    <w:rsid w:val="00E6614A"/>
    <w:rsid w:val="00E67508"/>
    <w:rsid w:val="00E72ADD"/>
    <w:rsid w:val="00E748B1"/>
    <w:rsid w:val="00E8054B"/>
    <w:rsid w:val="00E80C29"/>
    <w:rsid w:val="00E80F03"/>
    <w:rsid w:val="00E81171"/>
    <w:rsid w:val="00E81649"/>
    <w:rsid w:val="00E833C6"/>
    <w:rsid w:val="00E845C2"/>
    <w:rsid w:val="00E84D14"/>
    <w:rsid w:val="00E854E7"/>
    <w:rsid w:val="00E866BB"/>
    <w:rsid w:val="00E87961"/>
    <w:rsid w:val="00E905B3"/>
    <w:rsid w:val="00E93280"/>
    <w:rsid w:val="00E943F9"/>
    <w:rsid w:val="00E9504F"/>
    <w:rsid w:val="00E957E8"/>
    <w:rsid w:val="00E95E69"/>
    <w:rsid w:val="00E963CE"/>
    <w:rsid w:val="00E97736"/>
    <w:rsid w:val="00EA002A"/>
    <w:rsid w:val="00EA09CE"/>
    <w:rsid w:val="00EA1127"/>
    <w:rsid w:val="00EA474C"/>
    <w:rsid w:val="00EA7A54"/>
    <w:rsid w:val="00EB10A7"/>
    <w:rsid w:val="00EB4384"/>
    <w:rsid w:val="00EB4A4B"/>
    <w:rsid w:val="00EC3B05"/>
    <w:rsid w:val="00EC3FD2"/>
    <w:rsid w:val="00EC4313"/>
    <w:rsid w:val="00EC501C"/>
    <w:rsid w:val="00EC6B8A"/>
    <w:rsid w:val="00EC6E8F"/>
    <w:rsid w:val="00ED0109"/>
    <w:rsid w:val="00ED0671"/>
    <w:rsid w:val="00ED3473"/>
    <w:rsid w:val="00ED522C"/>
    <w:rsid w:val="00ED7B70"/>
    <w:rsid w:val="00EE0F66"/>
    <w:rsid w:val="00EE301E"/>
    <w:rsid w:val="00EE371E"/>
    <w:rsid w:val="00EE68D0"/>
    <w:rsid w:val="00EE72AF"/>
    <w:rsid w:val="00EF25FA"/>
    <w:rsid w:val="00EF78DD"/>
    <w:rsid w:val="00EF7BC5"/>
    <w:rsid w:val="00F004DD"/>
    <w:rsid w:val="00F02BFE"/>
    <w:rsid w:val="00F048E9"/>
    <w:rsid w:val="00F05674"/>
    <w:rsid w:val="00F05CBC"/>
    <w:rsid w:val="00F07AE1"/>
    <w:rsid w:val="00F111E5"/>
    <w:rsid w:val="00F14E9F"/>
    <w:rsid w:val="00F1639B"/>
    <w:rsid w:val="00F1757B"/>
    <w:rsid w:val="00F175E4"/>
    <w:rsid w:val="00F1777A"/>
    <w:rsid w:val="00F2000A"/>
    <w:rsid w:val="00F217CB"/>
    <w:rsid w:val="00F2243F"/>
    <w:rsid w:val="00F23449"/>
    <w:rsid w:val="00F239BC"/>
    <w:rsid w:val="00F23FDE"/>
    <w:rsid w:val="00F2532F"/>
    <w:rsid w:val="00F25B49"/>
    <w:rsid w:val="00F262EE"/>
    <w:rsid w:val="00F275CB"/>
    <w:rsid w:val="00F31328"/>
    <w:rsid w:val="00F31FEF"/>
    <w:rsid w:val="00F33068"/>
    <w:rsid w:val="00F33B0A"/>
    <w:rsid w:val="00F352A4"/>
    <w:rsid w:val="00F36DA8"/>
    <w:rsid w:val="00F40A29"/>
    <w:rsid w:val="00F413DD"/>
    <w:rsid w:val="00F43B6B"/>
    <w:rsid w:val="00F45625"/>
    <w:rsid w:val="00F466AC"/>
    <w:rsid w:val="00F55507"/>
    <w:rsid w:val="00F566A2"/>
    <w:rsid w:val="00F57F83"/>
    <w:rsid w:val="00F600E3"/>
    <w:rsid w:val="00F60357"/>
    <w:rsid w:val="00F61279"/>
    <w:rsid w:val="00F647A9"/>
    <w:rsid w:val="00F65AE3"/>
    <w:rsid w:val="00F66782"/>
    <w:rsid w:val="00F67CC0"/>
    <w:rsid w:val="00F7207B"/>
    <w:rsid w:val="00F73ADD"/>
    <w:rsid w:val="00F77C08"/>
    <w:rsid w:val="00F80CF8"/>
    <w:rsid w:val="00F816BC"/>
    <w:rsid w:val="00F90744"/>
    <w:rsid w:val="00F91770"/>
    <w:rsid w:val="00F92923"/>
    <w:rsid w:val="00F93CD7"/>
    <w:rsid w:val="00F9474B"/>
    <w:rsid w:val="00F96264"/>
    <w:rsid w:val="00F968DC"/>
    <w:rsid w:val="00FA0C0B"/>
    <w:rsid w:val="00FA179D"/>
    <w:rsid w:val="00FA1D79"/>
    <w:rsid w:val="00FA4B64"/>
    <w:rsid w:val="00FA50C8"/>
    <w:rsid w:val="00FA68A4"/>
    <w:rsid w:val="00FA6A35"/>
    <w:rsid w:val="00FA73C9"/>
    <w:rsid w:val="00FA7D65"/>
    <w:rsid w:val="00FB1627"/>
    <w:rsid w:val="00FB3B48"/>
    <w:rsid w:val="00FB3B6A"/>
    <w:rsid w:val="00FB4263"/>
    <w:rsid w:val="00FB4644"/>
    <w:rsid w:val="00FB68C6"/>
    <w:rsid w:val="00FC4178"/>
    <w:rsid w:val="00FC680A"/>
    <w:rsid w:val="00FC7AAB"/>
    <w:rsid w:val="00FD2FA9"/>
    <w:rsid w:val="00FD31D3"/>
    <w:rsid w:val="00FD4877"/>
    <w:rsid w:val="00FD4B3B"/>
    <w:rsid w:val="00FD5365"/>
    <w:rsid w:val="00FE36EB"/>
    <w:rsid w:val="00FE631E"/>
    <w:rsid w:val="00FF4A43"/>
    <w:rsid w:val="00FF7AAE"/>
    <w:rsid w:val="07470380"/>
    <w:rsid w:val="103D2A58"/>
    <w:rsid w:val="13427DB4"/>
    <w:rsid w:val="32AD6CEB"/>
    <w:rsid w:val="531B0AB3"/>
    <w:rsid w:val="538B7C82"/>
    <w:rsid w:val="67B638F0"/>
    <w:rsid w:val="E6D6D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0"/>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25"/>
    <w:semiHidden/>
    <w:unhideWhenUsed/>
    <w:qFormat/>
    <w:uiPriority w:val="99"/>
    <w:pPr>
      <w:ind w:left="100" w:leftChars="2500"/>
    </w:pPr>
  </w:style>
  <w:style w:type="paragraph" w:styleId="6">
    <w:name w:val="Body Text Indent 2"/>
    <w:basedOn w:val="1"/>
    <w:link w:val="17"/>
    <w:qFormat/>
    <w:uiPriority w:val="0"/>
    <w:pPr>
      <w:spacing w:after="120" w:line="480" w:lineRule="auto"/>
      <w:ind w:left="420" w:leftChars="200"/>
    </w:pPr>
    <w:rPr>
      <w:rFonts w:ascii="Times New Roman" w:hAnsi="Times New Roman" w:eastAsia="宋体" w:cs="Times New Roman"/>
      <w:szCs w:val="24"/>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character" w:customStyle="1" w:styleId="14">
    <w:name w:val="页眉 字符"/>
    <w:basedOn w:val="12"/>
    <w:link w:val="8"/>
    <w:qFormat/>
    <w:uiPriority w:val="99"/>
    <w:rPr>
      <w:sz w:val="18"/>
      <w:szCs w:val="18"/>
    </w:rPr>
  </w:style>
  <w:style w:type="character" w:customStyle="1" w:styleId="15">
    <w:name w:val="页脚 字符"/>
    <w:basedOn w:val="12"/>
    <w:link w:val="7"/>
    <w:qFormat/>
    <w:uiPriority w:val="99"/>
    <w:rPr>
      <w:sz w:val="18"/>
      <w:szCs w:val="18"/>
    </w:rPr>
  </w:style>
  <w:style w:type="paragraph" w:customStyle="1" w:styleId="16">
    <w:name w:val="p0"/>
    <w:basedOn w:val="1"/>
    <w:qFormat/>
    <w:uiPriority w:val="0"/>
    <w:pPr>
      <w:widowControl/>
    </w:pPr>
    <w:rPr>
      <w:rFonts w:ascii="Times New Roman" w:hAnsi="Times New Roman" w:eastAsia="宋体" w:cs="Times New Roman"/>
      <w:kern w:val="0"/>
      <w:szCs w:val="21"/>
    </w:rPr>
  </w:style>
  <w:style w:type="character" w:customStyle="1" w:styleId="17">
    <w:name w:val="正文文本缩进 2 字符"/>
    <w:basedOn w:val="12"/>
    <w:link w:val="6"/>
    <w:qFormat/>
    <w:uiPriority w:val="0"/>
    <w:rPr>
      <w:rFonts w:ascii="Times New Roman" w:hAnsi="Times New Roman" w:eastAsia="宋体" w:cs="Times New Roman"/>
      <w:szCs w:val="24"/>
    </w:rPr>
  </w:style>
  <w:style w:type="character" w:customStyle="1" w:styleId="18">
    <w:name w:val="标题 1 字符"/>
    <w:basedOn w:val="12"/>
    <w:link w:val="2"/>
    <w:qFormat/>
    <w:uiPriority w:val="9"/>
    <w:rPr>
      <w:b/>
      <w:bCs/>
      <w:kern w:val="44"/>
      <w:sz w:val="44"/>
      <w:szCs w:val="44"/>
    </w:rPr>
  </w:style>
  <w:style w:type="character" w:customStyle="1" w:styleId="19">
    <w:name w:val="标题 2 字符"/>
    <w:basedOn w:val="12"/>
    <w:link w:val="3"/>
    <w:qFormat/>
    <w:uiPriority w:val="9"/>
    <w:rPr>
      <w:rFonts w:asciiTheme="majorHAnsi" w:hAnsiTheme="majorHAnsi" w:eastAsiaTheme="majorEastAsia" w:cstheme="majorBidi"/>
      <w:b/>
      <w:bCs/>
      <w:sz w:val="32"/>
      <w:szCs w:val="32"/>
    </w:rPr>
  </w:style>
  <w:style w:type="character" w:customStyle="1" w:styleId="20">
    <w:name w:val="标题 3 字符"/>
    <w:basedOn w:val="12"/>
    <w:link w:val="4"/>
    <w:qFormat/>
    <w:uiPriority w:val="9"/>
    <w:rPr>
      <w:b/>
      <w:bCs/>
      <w:sz w:val="32"/>
      <w:szCs w:val="32"/>
    </w:rPr>
  </w:style>
  <w:style w:type="paragraph" w:styleId="21">
    <w:name w:val="List Paragraph"/>
    <w:basedOn w:val="1"/>
    <w:qFormat/>
    <w:uiPriority w:val="34"/>
    <w:pPr>
      <w:ind w:firstLine="420" w:firstLineChars="200"/>
    </w:pPr>
  </w:style>
  <w:style w:type="paragraph" w:customStyle="1" w:styleId="22">
    <w:name w:val="列表段落1"/>
    <w:basedOn w:val="1"/>
    <w:qFormat/>
    <w:uiPriority w:val="34"/>
    <w:pPr>
      <w:ind w:firstLine="420" w:firstLineChars="200"/>
    </w:pPr>
    <w:rPr>
      <w:rFonts w:ascii="Calibri" w:hAnsi="Calibri" w:eastAsia="宋体" w:cs="黑体"/>
    </w:rPr>
  </w:style>
  <w:style w:type="character" w:customStyle="1" w:styleId="23">
    <w:name w:val="未处理的提及1"/>
    <w:basedOn w:val="12"/>
    <w:semiHidden/>
    <w:unhideWhenUsed/>
    <w:qFormat/>
    <w:uiPriority w:val="99"/>
    <w:rPr>
      <w:color w:val="605E5C"/>
      <w:shd w:val="clear" w:color="auto" w:fill="E1DFDD"/>
    </w:rPr>
  </w:style>
  <w:style w:type="character" w:customStyle="1" w:styleId="24">
    <w:name w:val="Unresolved Mention"/>
    <w:basedOn w:val="12"/>
    <w:semiHidden/>
    <w:unhideWhenUsed/>
    <w:qFormat/>
    <w:uiPriority w:val="99"/>
    <w:rPr>
      <w:color w:val="605E5C"/>
      <w:shd w:val="clear" w:color="auto" w:fill="E1DFDD"/>
    </w:rPr>
  </w:style>
  <w:style w:type="character" w:customStyle="1" w:styleId="25">
    <w:name w:val="日期 字符"/>
    <w:basedOn w:val="12"/>
    <w:link w:val="5"/>
    <w:semiHidden/>
    <w:qFormat/>
    <w:uiPriority w:val="99"/>
    <w:rPr>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1575</Words>
  <Characters>1618</Characters>
  <Lines>12</Lines>
  <Paragraphs>3</Paragraphs>
  <TotalTime>1</TotalTime>
  <ScaleCrop>false</ScaleCrop>
  <LinksUpToDate>false</LinksUpToDate>
  <CharactersWithSpaces>1670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2021-01-13T06:51:00Z</dcterms:created>
  <dc:creator>马 楠</dc:creator>
  <cp:lastModifiedBy>goveditor</cp:lastModifiedBy>
  <cp:lastPrinted>2023-07-05T08:22:00Z</cp:lastPrinted>
  <dcterms:modified xsi:type="dcterms:W3CDTF">2023-07-10T08:26:14Z</dcterms:modified>
  <cp:revision>1907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56FADC684C0348FDA6FAF748B54CC882</vt:lpwstr>
  </property>
</Properties>
</file>