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华文中宋" w:eastAsia="仿宋_GB2312" w:cs="Times New Roman"/>
          <w:b/>
          <w:bCs/>
          <w:sz w:val="32"/>
          <w:szCs w:val="32"/>
        </w:rPr>
      </w:pPr>
      <w:bookmarkStart w:id="0" w:name="_GoBack"/>
      <w:bookmarkEnd w:id="0"/>
      <w:r>
        <w:rPr>
          <w:rFonts w:hint="eastAsia" w:ascii="仿宋_GB2312" w:hAnsi="华文中宋" w:eastAsia="仿宋_GB2312" w:cs="仿宋_GB2312"/>
          <w:b/>
          <w:bCs/>
          <w:sz w:val="32"/>
          <w:szCs w:val="32"/>
        </w:rPr>
        <w:t>附件</w:t>
      </w:r>
    </w:p>
    <w:p>
      <w:pPr>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国家能源局发展规划司</w:t>
      </w:r>
      <w:r>
        <w:rPr>
          <w:rFonts w:ascii="华文中宋" w:hAnsi="华文中宋" w:eastAsia="华文中宋" w:cs="华文中宋"/>
          <w:b/>
          <w:bCs/>
          <w:sz w:val="36"/>
          <w:szCs w:val="36"/>
        </w:rPr>
        <w:t>2016</w:t>
      </w:r>
      <w:r>
        <w:rPr>
          <w:rFonts w:hint="eastAsia" w:ascii="华文中宋" w:hAnsi="华文中宋" w:eastAsia="华文中宋" w:cs="华文中宋"/>
          <w:b/>
          <w:bCs/>
          <w:sz w:val="36"/>
          <w:szCs w:val="36"/>
        </w:rPr>
        <w:t>年研究课题</w:t>
      </w:r>
    </w:p>
    <w:p>
      <w:pPr>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公开招标中标结果</w:t>
      </w:r>
    </w:p>
    <w:tbl>
      <w:tblPr>
        <w:tblStyle w:val="9"/>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210"/>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878" w:type="dxa"/>
            <w:vAlign w:val="center"/>
          </w:tcPr>
          <w:p>
            <w:pPr>
              <w:jc w:val="center"/>
              <w:rPr>
                <w:rFonts w:ascii="仿宋_GB2312" w:hAnsi="华文中宋" w:eastAsia="仿宋_GB2312" w:cs="Times New Roman"/>
                <w:b/>
                <w:bCs/>
                <w:sz w:val="30"/>
                <w:szCs w:val="30"/>
              </w:rPr>
            </w:pPr>
            <w:r>
              <w:rPr>
                <w:rFonts w:hint="eastAsia" w:ascii="仿宋_GB2312" w:hAnsi="华文中宋" w:eastAsia="仿宋_GB2312" w:cs="仿宋_GB2312"/>
                <w:b/>
                <w:bCs/>
                <w:sz w:val="30"/>
                <w:szCs w:val="30"/>
              </w:rPr>
              <w:t>序号</w:t>
            </w:r>
          </w:p>
        </w:tc>
        <w:tc>
          <w:tcPr>
            <w:tcW w:w="3210" w:type="dxa"/>
            <w:vAlign w:val="center"/>
          </w:tcPr>
          <w:p>
            <w:pPr>
              <w:jc w:val="center"/>
              <w:rPr>
                <w:rFonts w:ascii="仿宋_GB2312" w:hAnsi="华文中宋" w:eastAsia="仿宋_GB2312" w:cs="Times New Roman"/>
                <w:b/>
                <w:bCs/>
                <w:sz w:val="30"/>
                <w:szCs w:val="30"/>
              </w:rPr>
            </w:pPr>
            <w:r>
              <w:rPr>
                <w:rFonts w:hint="eastAsia" w:ascii="仿宋_GB2312" w:hAnsi="华文中宋" w:eastAsia="仿宋_GB2312" w:cs="仿宋_GB2312"/>
                <w:b/>
                <w:bCs/>
                <w:sz w:val="30"/>
                <w:szCs w:val="30"/>
              </w:rPr>
              <w:t>课题名称</w:t>
            </w:r>
          </w:p>
        </w:tc>
        <w:tc>
          <w:tcPr>
            <w:tcW w:w="4172" w:type="dxa"/>
            <w:vAlign w:val="center"/>
          </w:tcPr>
          <w:p>
            <w:pPr>
              <w:jc w:val="center"/>
              <w:rPr>
                <w:rFonts w:ascii="仿宋_GB2312" w:hAnsi="华文中宋" w:eastAsia="仿宋_GB2312" w:cs="Times New Roman"/>
                <w:b/>
                <w:bCs/>
                <w:sz w:val="30"/>
                <w:szCs w:val="30"/>
              </w:rPr>
            </w:pPr>
            <w:r>
              <w:rPr>
                <w:rFonts w:hint="eastAsia" w:ascii="仿宋_GB2312" w:hAnsi="华文中宋" w:eastAsia="仿宋_GB2312" w:cs="仿宋_GB2312"/>
                <w:b/>
                <w:bCs/>
                <w:sz w:val="30"/>
                <w:szCs w:val="30"/>
              </w:rPr>
              <w:t>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我国能源安全评估</w:t>
            </w:r>
          </w:p>
        </w:tc>
        <w:tc>
          <w:tcPr>
            <w:tcW w:w="4172" w:type="dxa"/>
            <w:vAlign w:val="center"/>
          </w:tcPr>
          <w:p>
            <w:pPr>
              <w:rPr>
                <w:rFonts w:ascii="仿宋_GB2312" w:hAnsi="华文中宋" w:eastAsia="仿宋_GB2312" w:cs="Times New Roman"/>
                <w:sz w:val="24"/>
                <w:szCs w:val="24"/>
              </w:rPr>
            </w:pPr>
            <w:r>
              <w:rPr>
                <w:rFonts w:hint="eastAsia" w:ascii="仿宋_GB2312" w:eastAsia="仿宋_GB2312" w:cs="仿宋_GB2312"/>
                <w:sz w:val="24"/>
                <w:szCs w:val="24"/>
              </w:rPr>
              <w:t>中国社会科学研究院工业经济研究所；中国石油集团经济技术研究院等</w:t>
            </w:r>
            <w:r>
              <w:rPr>
                <w:rFonts w:ascii="仿宋_GB2312" w:eastAsia="仿宋_GB2312" w:cs="仿宋_GB2312"/>
                <w:sz w:val="24"/>
                <w:szCs w:val="24"/>
              </w:rPr>
              <w:t>2</w:t>
            </w:r>
            <w:r>
              <w:rPr>
                <w:rFonts w:hint="eastAsia" w:ascii="仿宋_GB2312" w:eastAsia="仿宋_GB2312" w:cs="仿宋_GB2312"/>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我国海域油气勘探开发评估</w:t>
            </w:r>
          </w:p>
        </w:tc>
        <w:tc>
          <w:tcPr>
            <w:tcW w:w="4172" w:type="dxa"/>
            <w:vAlign w:val="center"/>
          </w:tcPr>
          <w:p>
            <w:pPr>
              <w:rPr>
                <w:rFonts w:ascii="仿宋_GB2312" w:hAnsi="宋体" w:eastAsia="仿宋_GB2312" w:cs="Times New Roman"/>
                <w:sz w:val="24"/>
                <w:szCs w:val="24"/>
              </w:rPr>
            </w:pPr>
            <w:r>
              <w:rPr>
                <w:rFonts w:hint="eastAsia" w:ascii="仿宋_GB2312" w:eastAsia="仿宋_GB2312" w:cs="仿宋_GB2312"/>
                <w:sz w:val="24"/>
                <w:szCs w:val="24"/>
              </w:rPr>
              <w:t>中国地质调查局油气资源调查中心牵头，中国石油集团经济技术研究院参与。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w:t>
            </w:r>
          </w:p>
        </w:tc>
        <w:tc>
          <w:tcPr>
            <w:tcW w:w="3210" w:type="dxa"/>
            <w:vAlign w:val="center"/>
          </w:tcPr>
          <w:p>
            <w:pPr>
              <w:rPr>
                <w:rFonts w:ascii="仿宋_GB2312" w:hAnsi="华文中宋" w:eastAsia="仿宋_GB2312" w:cs="Times New Roman"/>
                <w:sz w:val="24"/>
                <w:szCs w:val="24"/>
              </w:rPr>
            </w:pPr>
            <w:r>
              <w:rPr>
                <w:rFonts w:hint="eastAsia" w:ascii="仿宋_GB2312" w:eastAsia="仿宋_GB2312" w:cs="仿宋_GB2312"/>
                <w:sz w:val="24"/>
                <w:szCs w:val="24"/>
              </w:rPr>
              <w:t>我国跨界河流水电开发评估</w:t>
            </w:r>
          </w:p>
        </w:tc>
        <w:tc>
          <w:tcPr>
            <w:tcW w:w="4172" w:type="dxa"/>
            <w:vAlign w:val="center"/>
          </w:tcPr>
          <w:p>
            <w:pPr>
              <w:rPr>
                <w:rFonts w:ascii="仿宋_GB2312" w:hAnsi="华文中宋" w:eastAsia="仿宋_GB2312" w:cs="Times New Roman"/>
                <w:sz w:val="24"/>
                <w:szCs w:val="24"/>
              </w:rPr>
            </w:pPr>
            <w:r>
              <w:rPr>
                <w:rFonts w:hint="eastAsia" w:ascii="仿宋_GB2312" w:eastAsia="仿宋_GB2312" w:cs="仿宋_GB2312"/>
                <w:sz w:val="24"/>
                <w:szCs w:val="24"/>
              </w:rPr>
              <w:t>水电水利规划设计总院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我国能源开发利用对生态安全影响评估</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中国环境科学研究院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5</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我国能源消费革命与消费安全路径选择研究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国家节能中心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6</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我国中长期能源国际合作战略研究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中国石油集团经济技术研究院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7</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我国中长期能源安全战略研究与系列专家座谈会</w:t>
            </w:r>
          </w:p>
        </w:tc>
        <w:tc>
          <w:tcPr>
            <w:tcW w:w="4172" w:type="dxa"/>
            <w:vAlign w:val="center"/>
          </w:tcPr>
          <w:p>
            <w:pPr>
              <w:rPr>
                <w:rFonts w:ascii="仿宋_GB2312" w:hAnsi="华文中宋" w:eastAsia="仿宋_GB2312" w:cs="Times New Roman"/>
                <w:sz w:val="24"/>
                <w:szCs w:val="24"/>
              </w:rPr>
            </w:pPr>
            <w:r>
              <w:rPr>
                <w:rFonts w:hint="eastAsia" w:ascii="仿宋_GB2312" w:eastAsia="仿宋_GB2312" w:cs="仿宋_GB2312"/>
                <w:sz w:val="24"/>
                <w:szCs w:val="24"/>
              </w:rPr>
              <w:t>中国社会科学研究院工业经济研究所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8</w:t>
            </w:r>
          </w:p>
        </w:tc>
        <w:tc>
          <w:tcPr>
            <w:tcW w:w="3210" w:type="dxa"/>
            <w:vAlign w:val="center"/>
          </w:tcPr>
          <w:p>
            <w:pPr>
              <w:rPr>
                <w:rFonts w:ascii="仿宋_GB2312" w:hAnsi="华文中宋" w:eastAsia="仿宋_GB2312" w:cs="Times New Roman"/>
                <w:sz w:val="24"/>
                <w:szCs w:val="24"/>
              </w:rPr>
            </w:pPr>
            <w:r>
              <w:rPr>
                <w:rFonts w:ascii="仿宋_GB2312" w:hAnsi="华文中宋" w:eastAsia="仿宋_GB2312" w:cs="仿宋_GB2312"/>
                <w:sz w:val="24"/>
                <w:szCs w:val="24"/>
              </w:rPr>
              <w:t>2030</w:t>
            </w:r>
            <w:r>
              <w:rPr>
                <w:rFonts w:hint="eastAsia" w:ascii="仿宋_GB2312" w:hAnsi="华文中宋" w:eastAsia="仿宋_GB2312" w:cs="仿宋_GB2312"/>
                <w:sz w:val="24"/>
                <w:szCs w:val="24"/>
              </w:rPr>
              <w:t>年能源生产和消费革命战略实施方案</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中国石油大学（北京）中国能源战略研究院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9</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煤炭绿色智能开发利用战略研究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中国煤炭工业发展研究中心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10</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大比例可再生能源发展战略研究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国家发改委能源研究所等</w:t>
            </w:r>
            <w:r>
              <w:rPr>
                <w:rFonts w:ascii="仿宋_GB2312" w:hAnsi="华文中宋" w:eastAsia="仿宋_GB2312" w:cs="仿宋_GB2312"/>
                <w:sz w:val="24"/>
                <w:szCs w:val="24"/>
              </w:rPr>
              <w:t>3</w:t>
            </w:r>
            <w:r>
              <w:rPr>
                <w:rFonts w:hint="eastAsia" w:ascii="仿宋_GB2312" w:hAnsi="华文中宋" w:eastAsia="仿宋_GB2312" w:cs="仿宋_GB2312"/>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11</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西南水电基地建设研究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水电水利规划设计总院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12</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核电发展战略研究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中国核科技信息与经济研究院等</w:t>
            </w:r>
            <w:r>
              <w:rPr>
                <w:rFonts w:ascii="仿宋_GB2312" w:hAnsi="华文中宋" w:eastAsia="仿宋_GB2312" w:cs="仿宋_GB2312"/>
                <w:sz w:val="24"/>
                <w:szCs w:val="24"/>
              </w:rPr>
              <w:t>5</w:t>
            </w:r>
            <w:r>
              <w:rPr>
                <w:rFonts w:hint="eastAsia" w:ascii="仿宋_GB2312" w:hAnsi="华文中宋" w:eastAsia="仿宋_GB2312" w:cs="仿宋_GB2312"/>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13</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天然气革命战略研究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中国石油天然气集团公司咨询中心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14</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石油革命战略研究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中国石油勘探开发研究院等</w:t>
            </w:r>
            <w:r>
              <w:rPr>
                <w:rFonts w:ascii="仿宋_GB2312" w:hAnsi="华文中宋" w:eastAsia="仿宋_GB2312" w:cs="仿宋_GB2312"/>
                <w:sz w:val="24"/>
                <w:szCs w:val="24"/>
              </w:rPr>
              <w:t>2</w:t>
            </w:r>
            <w:r>
              <w:rPr>
                <w:rFonts w:hint="eastAsia" w:ascii="仿宋_GB2312" w:hAnsi="华文中宋" w:eastAsia="仿宋_GB2312" w:cs="仿宋_GB2312"/>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15</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电力系统革命战略研究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国网能源研究院等</w:t>
            </w:r>
            <w:r>
              <w:rPr>
                <w:rFonts w:ascii="仿宋_GB2312" w:hAnsi="华文中宋" w:eastAsia="仿宋_GB2312" w:cs="仿宋_GB2312"/>
                <w:sz w:val="24"/>
                <w:szCs w:val="24"/>
              </w:rPr>
              <w:t>4</w:t>
            </w:r>
            <w:r>
              <w:rPr>
                <w:rFonts w:hint="eastAsia" w:ascii="仿宋_GB2312" w:hAnsi="华文中宋" w:eastAsia="仿宋_GB2312" w:cs="仿宋_GB2312"/>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16</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我国能源需求多情景分析研究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国家发改委能源研究所；清华大学能源环境经济研究所。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17</w:t>
            </w:r>
          </w:p>
        </w:tc>
        <w:tc>
          <w:tcPr>
            <w:tcW w:w="3210" w:type="dxa"/>
            <w:vAlign w:val="center"/>
          </w:tcPr>
          <w:p>
            <w:pPr>
              <w:rPr>
                <w:rFonts w:ascii="仿宋_GB2312" w:hAnsi="华文中宋" w:eastAsia="仿宋_GB2312" w:cs="Times New Roman"/>
                <w:sz w:val="24"/>
                <w:szCs w:val="24"/>
              </w:rPr>
            </w:pPr>
            <w:r>
              <w:rPr>
                <w:rFonts w:ascii="仿宋_GB2312" w:hAnsi="华文中宋" w:eastAsia="仿宋_GB2312" w:cs="仿宋_GB2312"/>
                <w:sz w:val="24"/>
                <w:szCs w:val="24"/>
              </w:rPr>
              <w:t>2050</w:t>
            </w:r>
            <w:r>
              <w:rPr>
                <w:rFonts w:hint="eastAsia" w:ascii="仿宋_GB2312" w:hAnsi="华文中宋" w:eastAsia="仿宋_GB2312" w:cs="仿宋_GB2312"/>
                <w:sz w:val="24"/>
                <w:szCs w:val="24"/>
              </w:rPr>
              <w:t>年能源绿色转型路线图总体思路研究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国家发改委能源研究所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18</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能源系统整体优化研究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电力规划设计总院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19</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能源基地协同发展研究</w:t>
            </w:r>
          </w:p>
        </w:tc>
        <w:tc>
          <w:tcPr>
            <w:tcW w:w="4172" w:type="dxa"/>
            <w:vAlign w:val="center"/>
          </w:tcPr>
          <w:p>
            <w:pPr>
              <w:rPr>
                <w:rFonts w:ascii="仿宋_GB2312" w:hAnsi="华文中宋" w:eastAsia="仿宋_GB2312" w:cs="仿宋_GB2312"/>
                <w:sz w:val="24"/>
                <w:szCs w:val="24"/>
              </w:rPr>
            </w:pPr>
            <w:r>
              <w:rPr>
                <w:rFonts w:hint="eastAsia" w:ascii="仿宋_GB2312" w:hAnsi="华文中宋" w:eastAsia="仿宋_GB2312" w:cs="仿宋_GB2312"/>
                <w:sz w:val="24"/>
                <w:szCs w:val="24"/>
              </w:rPr>
              <w:t>中国煤炭工业发展研究中心牵头，中煤科工集团北京华宇工程有限公司参与。</w:t>
            </w:r>
            <w:r>
              <w:rPr>
                <w:rFonts w:ascii="仿宋_GB2312" w:hAnsi="华文中宋"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20</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我国天然气发展路径与政策措施研究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中国石油天然气股份有限公司规划总院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21</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化解能源供应结构性过剩措施研究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中国电力企业联合会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22</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可再生能源与火电协同发展研究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电力规划设计总院；华北电力大学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23</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能源发展新模式、新业态及互联网</w:t>
            </w:r>
            <w:r>
              <w:rPr>
                <w:rFonts w:ascii="仿宋_GB2312" w:hAnsi="华文中宋" w:eastAsia="仿宋_GB2312" w:cs="仿宋_GB2312"/>
                <w:sz w:val="24"/>
                <w:szCs w:val="24"/>
              </w:rPr>
              <w:t>+</w:t>
            </w:r>
            <w:r>
              <w:rPr>
                <w:rFonts w:hint="eastAsia" w:ascii="仿宋_GB2312" w:hAnsi="华文中宋" w:eastAsia="仿宋_GB2312" w:cs="仿宋_GB2312"/>
                <w:sz w:val="24"/>
                <w:szCs w:val="24"/>
              </w:rPr>
              <w:t>智慧能源发展途径研究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电力规划设计总院牵头，清华大学等</w:t>
            </w:r>
            <w:r>
              <w:rPr>
                <w:rFonts w:ascii="仿宋_GB2312" w:hAnsi="华文中宋" w:eastAsia="仿宋_GB2312" w:cs="仿宋_GB2312"/>
                <w:sz w:val="24"/>
                <w:szCs w:val="24"/>
              </w:rPr>
              <w:t>2</w:t>
            </w:r>
            <w:r>
              <w:rPr>
                <w:rFonts w:hint="eastAsia" w:ascii="仿宋_GB2312" w:hAnsi="华文中宋" w:eastAsia="仿宋_GB2312" w:cs="仿宋_GB2312"/>
                <w:sz w:val="24"/>
                <w:szCs w:val="24"/>
              </w:rPr>
              <w:t>家参与。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24</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促进各类水电统筹协调开发机制研究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中国电力工程顾问集团中南电力设计院有限公司。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25</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促进多能互补集成应用的措施研究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中科院电工研究所等</w:t>
            </w:r>
            <w:r>
              <w:rPr>
                <w:rFonts w:ascii="仿宋_GB2312" w:hAnsi="华文中宋" w:eastAsia="仿宋_GB2312" w:cs="仿宋_GB2312"/>
                <w:sz w:val="24"/>
                <w:szCs w:val="24"/>
              </w:rPr>
              <w:t>3</w:t>
            </w:r>
            <w:r>
              <w:rPr>
                <w:rFonts w:hint="eastAsia" w:ascii="仿宋_GB2312" w:hAnsi="华文中宋" w:eastAsia="仿宋_GB2312" w:cs="仿宋_GB2312"/>
                <w:sz w:val="24"/>
                <w:szCs w:val="24"/>
              </w:rPr>
              <w:t>家牵头，南京工业大学等</w:t>
            </w:r>
            <w:r>
              <w:rPr>
                <w:rFonts w:ascii="仿宋_GB2312" w:hAnsi="华文中宋" w:eastAsia="仿宋_GB2312" w:cs="仿宋_GB2312"/>
                <w:sz w:val="24"/>
                <w:szCs w:val="24"/>
              </w:rPr>
              <w:t>2</w:t>
            </w:r>
            <w:r>
              <w:rPr>
                <w:rFonts w:hint="eastAsia" w:ascii="仿宋_GB2312" w:hAnsi="华文中宋" w:eastAsia="仿宋_GB2312" w:cs="仿宋_GB2312"/>
                <w:sz w:val="24"/>
                <w:szCs w:val="24"/>
              </w:rPr>
              <w:t>家参与。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26</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终端能源消费清洁高效替代措施研究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国网能源研究院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27</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规划目标落实机制研究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28</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国内外能源最新发展成果比较研究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国网能源研究院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29</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我国能源行业及区域能源发展比较研究及可视化平台开发</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北京洛斯达科技发展有限公司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30</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我国能源经济形势及其走势研究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国家信息中心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31</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我国电力供需形势、走势及其影响研究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电力规划设计总院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32</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我国天然气市场形势及其走势研究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中石油规划总院；中国能源研究会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33</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我国煤炭供需形势及其走势研究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中国煤炭运销协会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34</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国际能源形势及热点问题追踪</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新华社国家高端智库经济研究中心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35</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国际能源重大热点问题深度解读</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中科院武汉文献情报中心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36</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我国中长期经济社会发展展望与预测模型研究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国家信息中心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37</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我国中长期能源供需预测模型系统开发以及能源总量与结构预测研究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国家信息中心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38</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基于能源中长期展望和预测分析模型的可视化展示系统研究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北京洛斯达科技发展有限公司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39</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我国中长期煤炭需求展望与预测模型研究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中国煤炭工业发展研究中心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40</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我国中长期石油需求展望与预测模型研究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北京理工大学；中国石油化工集团公司经济技术研究院。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41</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我国中长期天然气需求展望与预测模型研究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中国石油集团经济技术研究院；国务院发展研究中心资源与环境研究所等</w:t>
            </w:r>
            <w:r>
              <w:rPr>
                <w:rFonts w:ascii="仿宋_GB2312" w:hAnsi="华文中宋" w:eastAsia="仿宋_GB2312" w:cs="仿宋_GB2312"/>
                <w:sz w:val="24"/>
                <w:szCs w:val="24"/>
              </w:rPr>
              <w:t>3</w:t>
            </w:r>
            <w:r>
              <w:rPr>
                <w:rFonts w:hint="eastAsia" w:ascii="仿宋_GB2312" w:hAnsi="华文中宋" w:eastAsia="仿宋_GB2312" w:cs="仿宋_GB2312"/>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42</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我国中长期电力需求展望与预测模型研究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电力规划设计总院；国网能源研究院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43</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我国中长期可再生能源展望研究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水电水利规划设计总院；国家发改委能源所。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44</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我国交通运输行业中长期发展趋势及用能需求预测模型研究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交通部规划研究院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45</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我国汽车行业中长期发展趋势及用能需求预测模型研究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46</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我国钢铁行业中长期发展趋势及用能需求预测模型研究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冶金工业规划研究院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47</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我国中长期石油化工行业发展趋势及用能需求预测模型研究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石油和化学工业规划院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48</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新型城镇化背景下我国中长期建筑发展及能耗需求展望与预测模型研究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重庆大学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49</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现代能源行业管理体系研究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中国电力企业联合会技经中心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50</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能源产业政策落实机制研究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51</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传统能源行业智能化发展前景研究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52</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衰竭煤矿、油气田转型发展研究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煤炭科学研究总院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53</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脱贫攻坚能源政策研究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水电水利规划总院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54</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能源投资项目数据库设计和建设</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北京洛斯达科技发展有限公司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vAlign w:val="center"/>
          </w:tcPr>
          <w:p>
            <w:pPr>
              <w:jc w:val="center"/>
              <w:rPr>
                <w:rFonts w:ascii="仿宋_GB2312" w:hAnsi="华文中宋" w:eastAsia="仿宋_GB2312" w:cs="仿宋_GB2312"/>
                <w:sz w:val="24"/>
                <w:szCs w:val="24"/>
              </w:rPr>
            </w:pPr>
            <w:r>
              <w:rPr>
                <w:rFonts w:ascii="仿宋_GB2312" w:hAnsi="华文中宋" w:eastAsia="仿宋_GB2312" w:cs="仿宋_GB2312"/>
                <w:sz w:val="24"/>
                <w:szCs w:val="24"/>
              </w:rPr>
              <w:t>55</w:t>
            </w:r>
          </w:p>
        </w:tc>
        <w:tc>
          <w:tcPr>
            <w:tcW w:w="3210"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能源研究课题后评估绩效指标设置研究</w:t>
            </w:r>
          </w:p>
        </w:tc>
        <w:tc>
          <w:tcPr>
            <w:tcW w:w="4172" w:type="dxa"/>
            <w:vAlign w:val="center"/>
          </w:tcPr>
          <w:p>
            <w:pPr>
              <w:rPr>
                <w:rFonts w:ascii="仿宋_GB2312" w:hAnsi="华文中宋" w:eastAsia="仿宋_GB2312" w:cs="Times New Roman"/>
                <w:sz w:val="24"/>
                <w:szCs w:val="24"/>
              </w:rPr>
            </w:pPr>
            <w:r>
              <w:rPr>
                <w:rFonts w:hint="eastAsia" w:ascii="仿宋_GB2312" w:hAnsi="华文中宋" w:eastAsia="仿宋_GB2312" w:cs="仿宋_GB2312"/>
                <w:sz w:val="24"/>
                <w:szCs w:val="24"/>
              </w:rPr>
              <w:t>中国电力企业联合会技经中心</w:t>
            </w:r>
          </w:p>
        </w:tc>
      </w:tr>
    </w:tbl>
    <w:p>
      <w:pPr>
        <w:autoSpaceDE w:val="0"/>
        <w:autoSpaceDN w:val="0"/>
        <w:adjustRightInd w:val="0"/>
        <w:jc w:val="left"/>
        <w:rPr>
          <w:rFonts w:ascii="Arial" w:hAnsi="Arial" w:cs="Arial"/>
          <w:b/>
          <w:bCs/>
          <w:color w:val="000000"/>
          <w:kern w:val="0"/>
          <w:sz w:val="20"/>
          <w:szCs w:val="20"/>
        </w:rPr>
      </w:pPr>
    </w:p>
    <w:p>
      <w:pPr>
        <w:autoSpaceDE w:val="0"/>
        <w:autoSpaceDN w:val="0"/>
        <w:adjustRightInd w:val="0"/>
        <w:jc w:val="left"/>
        <w:rPr>
          <w:rFonts w:ascii="仿宋_GB2312" w:hAnsi="Arial" w:eastAsia="仿宋_GB2312" w:cs="Times New Roman"/>
          <w:b/>
          <w:bCs/>
          <w:color w:val="000000"/>
          <w:kern w:val="0"/>
          <w:sz w:val="24"/>
          <w:szCs w:val="24"/>
        </w:rPr>
      </w:pPr>
      <w:r>
        <w:rPr>
          <w:rFonts w:hint="eastAsia" w:ascii="仿宋_GB2312" w:hAnsi="Arial" w:eastAsia="仿宋_GB2312" w:cs="仿宋_GB2312"/>
          <w:b/>
          <w:bCs/>
          <w:color w:val="000000"/>
          <w:kern w:val="0"/>
          <w:sz w:val="24"/>
          <w:szCs w:val="24"/>
        </w:rPr>
        <w:t>说明：</w:t>
      </w:r>
    </w:p>
    <w:p>
      <w:pPr>
        <w:autoSpaceDE w:val="0"/>
        <w:autoSpaceDN w:val="0"/>
        <w:adjustRightInd w:val="0"/>
        <w:jc w:val="left"/>
        <w:rPr>
          <w:rFonts w:ascii="仿宋_GB2312" w:hAnsi="Arial" w:eastAsia="仿宋_GB2312" w:cs="Times New Roman"/>
          <w:color w:val="000000"/>
          <w:kern w:val="0"/>
          <w:sz w:val="24"/>
          <w:szCs w:val="24"/>
        </w:rPr>
      </w:pPr>
      <w:r>
        <w:rPr>
          <w:rFonts w:ascii="仿宋_GB2312" w:hAnsi="Arial" w:eastAsia="仿宋_GB2312" w:cs="仿宋_GB2312"/>
          <w:color w:val="000000"/>
          <w:kern w:val="0"/>
          <w:sz w:val="24"/>
          <w:szCs w:val="24"/>
        </w:rPr>
        <w:t>1</w:t>
      </w:r>
      <w:r>
        <w:rPr>
          <w:rFonts w:hint="eastAsia" w:ascii="仿宋_GB2312" w:hAnsi="Arial" w:eastAsia="仿宋_GB2312" w:cs="仿宋_GB2312"/>
          <w:color w:val="000000"/>
          <w:kern w:val="0"/>
          <w:sz w:val="24"/>
          <w:szCs w:val="24"/>
        </w:rPr>
        <w:t>、中标单位为</w:t>
      </w:r>
      <w:r>
        <w:rPr>
          <w:rFonts w:ascii="仿宋_GB2312" w:hAnsi="Arial" w:eastAsia="仿宋_GB2312" w:cs="仿宋_GB2312"/>
          <w:color w:val="000000"/>
          <w:kern w:val="0"/>
          <w:sz w:val="24"/>
          <w:szCs w:val="24"/>
        </w:rPr>
        <w:t>2</w:t>
      </w:r>
      <w:r>
        <w:rPr>
          <w:rFonts w:hint="eastAsia" w:ascii="仿宋_GB2312" w:hAnsi="Arial" w:eastAsia="仿宋_GB2312" w:cs="仿宋_GB2312"/>
          <w:color w:val="000000"/>
          <w:kern w:val="0"/>
          <w:sz w:val="24"/>
          <w:szCs w:val="24"/>
        </w:rPr>
        <w:t>家申报主体的，由</w:t>
      </w:r>
      <w:r>
        <w:rPr>
          <w:rFonts w:ascii="仿宋_GB2312" w:hAnsi="Arial" w:eastAsia="仿宋_GB2312" w:cs="仿宋_GB2312"/>
          <w:color w:val="000000"/>
          <w:kern w:val="0"/>
          <w:sz w:val="24"/>
          <w:szCs w:val="24"/>
        </w:rPr>
        <w:t>2</w:t>
      </w:r>
      <w:r>
        <w:rPr>
          <w:rFonts w:hint="eastAsia" w:ascii="仿宋_GB2312" w:hAnsi="Arial" w:eastAsia="仿宋_GB2312" w:cs="仿宋_GB2312"/>
          <w:color w:val="000000"/>
          <w:kern w:val="0"/>
          <w:sz w:val="24"/>
          <w:szCs w:val="24"/>
        </w:rPr>
        <w:t>个申报主体分别开展研究；</w:t>
      </w:r>
    </w:p>
    <w:p>
      <w:pPr>
        <w:autoSpaceDE w:val="0"/>
        <w:autoSpaceDN w:val="0"/>
        <w:adjustRightInd w:val="0"/>
        <w:jc w:val="left"/>
        <w:rPr>
          <w:rFonts w:ascii="仿宋_GB2312" w:hAnsi="Arial" w:eastAsia="仿宋_GB2312" w:cs="Times New Roman"/>
          <w:color w:val="000000"/>
          <w:kern w:val="0"/>
          <w:sz w:val="24"/>
          <w:szCs w:val="24"/>
        </w:rPr>
      </w:pPr>
      <w:r>
        <w:rPr>
          <w:rFonts w:ascii="仿宋_GB2312" w:hAnsi="Arial" w:eastAsia="仿宋_GB2312" w:cs="仿宋_GB2312"/>
          <w:color w:val="000000"/>
          <w:kern w:val="0"/>
          <w:sz w:val="24"/>
          <w:szCs w:val="24"/>
        </w:rPr>
        <w:t>2</w:t>
      </w:r>
      <w:r>
        <w:rPr>
          <w:rFonts w:hint="eastAsia" w:ascii="仿宋_GB2312" w:hAnsi="Arial" w:eastAsia="仿宋_GB2312" w:cs="仿宋_GB2312"/>
          <w:color w:val="000000"/>
          <w:kern w:val="0"/>
          <w:sz w:val="24"/>
          <w:szCs w:val="24"/>
        </w:rPr>
        <w:t>、中标单位为“</w:t>
      </w:r>
      <w:r>
        <w:rPr>
          <w:rFonts w:ascii="仿宋_GB2312" w:hAnsi="Arial" w:eastAsia="仿宋_GB2312" w:cs="仿宋_GB2312"/>
          <w:color w:val="000000"/>
          <w:kern w:val="0"/>
          <w:sz w:val="24"/>
          <w:szCs w:val="24"/>
        </w:rPr>
        <w:t>A</w:t>
      </w:r>
      <w:r>
        <w:rPr>
          <w:rFonts w:hint="eastAsia" w:ascii="仿宋_GB2312" w:hAnsi="Arial" w:eastAsia="仿宋_GB2312" w:cs="仿宋_GB2312"/>
          <w:color w:val="000000"/>
          <w:kern w:val="0"/>
          <w:sz w:val="24"/>
          <w:szCs w:val="24"/>
        </w:rPr>
        <w:t>牵头，</w:t>
      </w:r>
      <w:r>
        <w:rPr>
          <w:rFonts w:ascii="仿宋_GB2312" w:hAnsi="Arial" w:eastAsia="仿宋_GB2312" w:cs="仿宋_GB2312"/>
          <w:color w:val="000000"/>
          <w:kern w:val="0"/>
          <w:sz w:val="24"/>
          <w:szCs w:val="24"/>
        </w:rPr>
        <w:t>B</w:t>
      </w:r>
      <w:r>
        <w:rPr>
          <w:rFonts w:hint="eastAsia" w:ascii="仿宋_GB2312" w:hAnsi="Arial" w:eastAsia="仿宋_GB2312" w:cs="仿宋_GB2312"/>
          <w:color w:val="000000"/>
          <w:kern w:val="0"/>
          <w:sz w:val="24"/>
          <w:szCs w:val="24"/>
        </w:rPr>
        <w:t>参与”的，由</w:t>
      </w:r>
      <w:r>
        <w:rPr>
          <w:rFonts w:ascii="仿宋_GB2312" w:hAnsi="Arial" w:eastAsia="仿宋_GB2312" w:cs="仿宋_GB2312"/>
          <w:color w:val="000000"/>
          <w:kern w:val="0"/>
          <w:sz w:val="24"/>
          <w:szCs w:val="24"/>
        </w:rPr>
        <w:t>A</w:t>
      </w:r>
      <w:r>
        <w:rPr>
          <w:rFonts w:hint="eastAsia" w:ascii="仿宋_GB2312" w:hAnsi="Arial" w:eastAsia="仿宋_GB2312" w:cs="仿宋_GB2312"/>
          <w:color w:val="000000"/>
          <w:kern w:val="0"/>
          <w:sz w:val="24"/>
          <w:szCs w:val="24"/>
        </w:rPr>
        <w:t>、</w:t>
      </w:r>
      <w:r>
        <w:rPr>
          <w:rFonts w:ascii="仿宋_GB2312" w:hAnsi="Arial" w:eastAsia="仿宋_GB2312" w:cs="仿宋_GB2312"/>
          <w:color w:val="000000"/>
          <w:kern w:val="0"/>
          <w:sz w:val="24"/>
          <w:szCs w:val="24"/>
        </w:rPr>
        <w:t>B</w:t>
      </w:r>
      <w:r>
        <w:rPr>
          <w:rFonts w:hint="eastAsia" w:ascii="仿宋_GB2312" w:hAnsi="Arial" w:eastAsia="仿宋_GB2312" w:cs="仿宋_GB2312"/>
          <w:color w:val="000000"/>
          <w:kern w:val="0"/>
          <w:sz w:val="24"/>
          <w:szCs w:val="24"/>
        </w:rPr>
        <w:t>单位联合开展研究；</w:t>
      </w:r>
    </w:p>
    <w:p>
      <w:pPr>
        <w:autoSpaceDE w:val="0"/>
        <w:autoSpaceDN w:val="0"/>
        <w:adjustRightInd w:val="0"/>
        <w:jc w:val="left"/>
        <w:rPr>
          <w:rFonts w:ascii="仿宋_GB2312" w:hAnsi="Arial" w:eastAsia="仿宋_GB2312" w:cs="Times New Roman"/>
          <w:color w:val="000000"/>
          <w:kern w:val="0"/>
          <w:sz w:val="24"/>
          <w:szCs w:val="24"/>
        </w:rPr>
      </w:pPr>
      <w:r>
        <w:rPr>
          <w:rFonts w:ascii="仿宋_GB2312" w:hAnsi="Arial" w:eastAsia="仿宋_GB2312" w:cs="仿宋_GB2312"/>
          <w:color w:val="000000"/>
          <w:kern w:val="0"/>
          <w:sz w:val="24"/>
          <w:szCs w:val="24"/>
        </w:rPr>
        <w:t>3</w:t>
      </w:r>
      <w:r>
        <w:rPr>
          <w:rFonts w:hint="eastAsia" w:ascii="仿宋_GB2312" w:hAnsi="Arial" w:eastAsia="仿宋_GB2312" w:cs="仿宋_GB2312"/>
          <w:color w:val="000000"/>
          <w:kern w:val="0"/>
          <w:sz w:val="24"/>
          <w:szCs w:val="24"/>
        </w:rPr>
        <w:t>、申报主体为“××单位等×家”的，该申报主体为多家单位联合申报。</w:t>
      </w:r>
    </w:p>
    <w:p>
      <w:pPr>
        <w:rPr>
          <w:rFonts w:cs="Times New Roman"/>
          <w:b/>
          <w:bCs/>
          <w:sz w:val="30"/>
          <w:szCs w:val="30"/>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3</w:t>
    </w:r>
    <w:r>
      <w:rPr>
        <w:rFonts w:ascii="宋体" w:hAnsi="宋体" w:cs="宋体"/>
        <w:sz w:val="28"/>
        <w:szCs w:val="28"/>
      </w:rPr>
      <w:fldChar w:fldCharType="end"/>
    </w:r>
    <w:r>
      <w:t xml:space="preserve"> —</w:t>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FD"/>
    <w:rsid w:val="00001065"/>
    <w:rsid w:val="00007131"/>
    <w:rsid w:val="000229DC"/>
    <w:rsid w:val="00034E2F"/>
    <w:rsid w:val="00056833"/>
    <w:rsid w:val="00062C2B"/>
    <w:rsid w:val="00066232"/>
    <w:rsid w:val="000734A9"/>
    <w:rsid w:val="000A2E38"/>
    <w:rsid w:val="000B014E"/>
    <w:rsid w:val="000B1926"/>
    <w:rsid w:val="000B3EFB"/>
    <w:rsid w:val="000C3872"/>
    <w:rsid w:val="000C4082"/>
    <w:rsid w:val="000E0EF0"/>
    <w:rsid w:val="000E4859"/>
    <w:rsid w:val="00101A7A"/>
    <w:rsid w:val="00115D21"/>
    <w:rsid w:val="0011665C"/>
    <w:rsid w:val="0012063E"/>
    <w:rsid w:val="001242D5"/>
    <w:rsid w:val="001643B5"/>
    <w:rsid w:val="00180B40"/>
    <w:rsid w:val="00197F29"/>
    <w:rsid w:val="001A0DF6"/>
    <w:rsid w:val="001A3521"/>
    <w:rsid w:val="00220132"/>
    <w:rsid w:val="002264E0"/>
    <w:rsid w:val="00251E2A"/>
    <w:rsid w:val="00262045"/>
    <w:rsid w:val="0027099E"/>
    <w:rsid w:val="002748F3"/>
    <w:rsid w:val="00281481"/>
    <w:rsid w:val="00282FA5"/>
    <w:rsid w:val="0029069D"/>
    <w:rsid w:val="00291925"/>
    <w:rsid w:val="002A42A6"/>
    <w:rsid w:val="002A5A49"/>
    <w:rsid w:val="002C5C6E"/>
    <w:rsid w:val="002F2696"/>
    <w:rsid w:val="003025D9"/>
    <w:rsid w:val="0031021D"/>
    <w:rsid w:val="0031521D"/>
    <w:rsid w:val="00332729"/>
    <w:rsid w:val="00333C9A"/>
    <w:rsid w:val="0033656F"/>
    <w:rsid w:val="00336A51"/>
    <w:rsid w:val="003503BC"/>
    <w:rsid w:val="003504F0"/>
    <w:rsid w:val="00355824"/>
    <w:rsid w:val="00375FAC"/>
    <w:rsid w:val="00383BF2"/>
    <w:rsid w:val="0039640E"/>
    <w:rsid w:val="003B0B58"/>
    <w:rsid w:val="003C16D6"/>
    <w:rsid w:val="003C543E"/>
    <w:rsid w:val="003E06E0"/>
    <w:rsid w:val="003E6CBB"/>
    <w:rsid w:val="00404CB1"/>
    <w:rsid w:val="00405C8A"/>
    <w:rsid w:val="0043029F"/>
    <w:rsid w:val="00436DEC"/>
    <w:rsid w:val="004403A1"/>
    <w:rsid w:val="00443031"/>
    <w:rsid w:val="00444497"/>
    <w:rsid w:val="00461867"/>
    <w:rsid w:val="00464247"/>
    <w:rsid w:val="00471109"/>
    <w:rsid w:val="00471AF6"/>
    <w:rsid w:val="004748FC"/>
    <w:rsid w:val="00487A73"/>
    <w:rsid w:val="004A17AC"/>
    <w:rsid w:val="004B3F45"/>
    <w:rsid w:val="004D3E29"/>
    <w:rsid w:val="004F1038"/>
    <w:rsid w:val="004F6C69"/>
    <w:rsid w:val="004F7A73"/>
    <w:rsid w:val="00500C4E"/>
    <w:rsid w:val="0050559C"/>
    <w:rsid w:val="00514815"/>
    <w:rsid w:val="005153C2"/>
    <w:rsid w:val="00516726"/>
    <w:rsid w:val="00524284"/>
    <w:rsid w:val="0054202D"/>
    <w:rsid w:val="00565D33"/>
    <w:rsid w:val="00571D7D"/>
    <w:rsid w:val="005745B9"/>
    <w:rsid w:val="005A03C0"/>
    <w:rsid w:val="005A6570"/>
    <w:rsid w:val="005B5468"/>
    <w:rsid w:val="005B563B"/>
    <w:rsid w:val="00600062"/>
    <w:rsid w:val="00603E61"/>
    <w:rsid w:val="0060598A"/>
    <w:rsid w:val="00610A28"/>
    <w:rsid w:val="006350A4"/>
    <w:rsid w:val="0063569A"/>
    <w:rsid w:val="006459A0"/>
    <w:rsid w:val="00660E27"/>
    <w:rsid w:val="00672A5C"/>
    <w:rsid w:val="006B0E5C"/>
    <w:rsid w:val="006B3C69"/>
    <w:rsid w:val="006B405F"/>
    <w:rsid w:val="006C39FC"/>
    <w:rsid w:val="006D5350"/>
    <w:rsid w:val="006E6194"/>
    <w:rsid w:val="006F07B0"/>
    <w:rsid w:val="007048EA"/>
    <w:rsid w:val="00706AF0"/>
    <w:rsid w:val="007122EB"/>
    <w:rsid w:val="007127B4"/>
    <w:rsid w:val="00717D07"/>
    <w:rsid w:val="00721CD2"/>
    <w:rsid w:val="00730BBD"/>
    <w:rsid w:val="00760351"/>
    <w:rsid w:val="00765BD3"/>
    <w:rsid w:val="00775480"/>
    <w:rsid w:val="00777D23"/>
    <w:rsid w:val="007B447F"/>
    <w:rsid w:val="007B4C36"/>
    <w:rsid w:val="007B6FF6"/>
    <w:rsid w:val="007D1894"/>
    <w:rsid w:val="007F0C05"/>
    <w:rsid w:val="007F3769"/>
    <w:rsid w:val="007F5FAB"/>
    <w:rsid w:val="00805129"/>
    <w:rsid w:val="00813D39"/>
    <w:rsid w:val="00816C6A"/>
    <w:rsid w:val="0082607D"/>
    <w:rsid w:val="00851B36"/>
    <w:rsid w:val="008923E2"/>
    <w:rsid w:val="008A1D76"/>
    <w:rsid w:val="008A3C89"/>
    <w:rsid w:val="008A584E"/>
    <w:rsid w:val="008A5D0B"/>
    <w:rsid w:val="008A6911"/>
    <w:rsid w:val="008E3431"/>
    <w:rsid w:val="008E41FC"/>
    <w:rsid w:val="0091126B"/>
    <w:rsid w:val="00913284"/>
    <w:rsid w:val="0091644F"/>
    <w:rsid w:val="0092474D"/>
    <w:rsid w:val="00927F47"/>
    <w:rsid w:val="00937274"/>
    <w:rsid w:val="00941723"/>
    <w:rsid w:val="00961DF3"/>
    <w:rsid w:val="009724DD"/>
    <w:rsid w:val="00980DF4"/>
    <w:rsid w:val="00984577"/>
    <w:rsid w:val="00985E9C"/>
    <w:rsid w:val="0099583C"/>
    <w:rsid w:val="009973E1"/>
    <w:rsid w:val="009A2905"/>
    <w:rsid w:val="009F62B6"/>
    <w:rsid w:val="00A05FCB"/>
    <w:rsid w:val="00A2136C"/>
    <w:rsid w:val="00A25AF3"/>
    <w:rsid w:val="00A25EA5"/>
    <w:rsid w:val="00A26417"/>
    <w:rsid w:val="00A278D4"/>
    <w:rsid w:val="00A3120C"/>
    <w:rsid w:val="00A3675E"/>
    <w:rsid w:val="00A41900"/>
    <w:rsid w:val="00A634EF"/>
    <w:rsid w:val="00A857B5"/>
    <w:rsid w:val="00A94B3A"/>
    <w:rsid w:val="00AB1587"/>
    <w:rsid w:val="00AC70E5"/>
    <w:rsid w:val="00AE10EB"/>
    <w:rsid w:val="00AE4D48"/>
    <w:rsid w:val="00AF42A3"/>
    <w:rsid w:val="00B07BC4"/>
    <w:rsid w:val="00B2716B"/>
    <w:rsid w:val="00B339DF"/>
    <w:rsid w:val="00B3427E"/>
    <w:rsid w:val="00B51A8B"/>
    <w:rsid w:val="00B51FFB"/>
    <w:rsid w:val="00B60AFB"/>
    <w:rsid w:val="00B908A9"/>
    <w:rsid w:val="00B94B2F"/>
    <w:rsid w:val="00BA4E76"/>
    <w:rsid w:val="00BC662B"/>
    <w:rsid w:val="00BE46CA"/>
    <w:rsid w:val="00BE6295"/>
    <w:rsid w:val="00BE6BFB"/>
    <w:rsid w:val="00BF6DF7"/>
    <w:rsid w:val="00C01F50"/>
    <w:rsid w:val="00C27D84"/>
    <w:rsid w:val="00C320F0"/>
    <w:rsid w:val="00C329C1"/>
    <w:rsid w:val="00C4365E"/>
    <w:rsid w:val="00C63B4B"/>
    <w:rsid w:val="00C77BFD"/>
    <w:rsid w:val="00CB2B1A"/>
    <w:rsid w:val="00CB2E9B"/>
    <w:rsid w:val="00CB34F4"/>
    <w:rsid w:val="00CB353B"/>
    <w:rsid w:val="00CE45A0"/>
    <w:rsid w:val="00CE6506"/>
    <w:rsid w:val="00CF65EE"/>
    <w:rsid w:val="00D00613"/>
    <w:rsid w:val="00D00A2D"/>
    <w:rsid w:val="00D01322"/>
    <w:rsid w:val="00D14268"/>
    <w:rsid w:val="00D15931"/>
    <w:rsid w:val="00D21F5E"/>
    <w:rsid w:val="00D41D00"/>
    <w:rsid w:val="00D65F61"/>
    <w:rsid w:val="00D726AD"/>
    <w:rsid w:val="00D73C53"/>
    <w:rsid w:val="00DC1ABF"/>
    <w:rsid w:val="00DD2572"/>
    <w:rsid w:val="00DF6D8F"/>
    <w:rsid w:val="00E03581"/>
    <w:rsid w:val="00E26341"/>
    <w:rsid w:val="00E425AF"/>
    <w:rsid w:val="00E71ECE"/>
    <w:rsid w:val="00E77F82"/>
    <w:rsid w:val="00EA5A83"/>
    <w:rsid w:val="00ED15D5"/>
    <w:rsid w:val="00ED18C4"/>
    <w:rsid w:val="00ED705C"/>
    <w:rsid w:val="00EE6180"/>
    <w:rsid w:val="00F00B8A"/>
    <w:rsid w:val="00F017C6"/>
    <w:rsid w:val="00F01E55"/>
    <w:rsid w:val="00F01E82"/>
    <w:rsid w:val="00F0291D"/>
    <w:rsid w:val="00F07F00"/>
    <w:rsid w:val="00F22DF1"/>
    <w:rsid w:val="00F24FA3"/>
    <w:rsid w:val="00F26C9B"/>
    <w:rsid w:val="00F3039E"/>
    <w:rsid w:val="00F417AC"/>
    <w:rsid w:val="00F462E2"/>
    <w:rsid w:val="00F533DA"/>
    <w:rsid w:val="00F56634"/>
    <w:rsid w:val="00F75BF8"/>
    <w:rsid w:val="00F85C8B"/>
    <w:rsid w:val="00F91485"/>
    <w:rsid w:val="00F94D92"/>
    <w:rsid w:val="00FA2328"/>
    <w:rsid w:val="00FA2CB4"/>
    <w:rsid w:val="00FA3BC1"/>
    <w:rsid w:val="00FE2E35"/>
    <w:rsid w:val="00FE62E3"/>
    <w:rsid w:val="00FF37A7"/>
    <w:rsid w:val="00FF5D3B"/>
    <w:rsid w:val="266A71C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iPriority w:val="99"/>
    <w:rPr>
      <w:b/>
      <w:bCs/>
    </w:rPr>
  </w:style>
  <w:style w:type="paragraph" w:styleId="3">
    <w:name w:val="annotation text"/>
    <w:basedOn w:val="1"/>
    <w:link w:val="13"/>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iPriority w:val="99"/>
    <w:rPr>
      <w:sz w:val="21"/>
      <w:szCs w:val="21"/>
    </w:rPr>
  </w:style>
  <w:style w:type="table" w:styleId="10">
    <w:name w:val="Table Grid"/>
    <w:basedOn w:val="9"/>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er Char"/>
    <w:basedOn w:val="7"/>
    <w:link w:val="6"/>
    <w:semiHidden/>
    <w:locked/>
    <w:uiPriority w:val="99"/>
    <w:rPr>
      <w:sz w:val="18"/>
      <w:szCs w:val="18"/>
    </w:rPr>
  </w:style>
  <w:style w:type="character" w:customStyle="1" w:styleId="12">
    <w:name w:val="Footer Char"/>
    <w:basedOn w:val="7"/>
    <w:link w:val="5"/>
    <w:locked/>
    <w:uiPriority w:val="99"/>
    <w:rPr>
      <w:sz w:val="18"/>
      <w:szCs w:val="18"/>
    </w:rPr>
  </w:style>
  <w:style w:type="character" w:customStyle="1" w:styleId="13">
    <w:name w:val="Comment Text Char"/>
    <w:basedOn w:val="7"/>
    <w:link w:val="3"/>
    <w:semiHidden/>
    <w:locked/>
    <w:uiPriority w:val="99"/>
  </w:style>
  <w:style w:type="character" w:customStyle="1" w:styleId="14">
    <w:name w:val="Comment Subject Char"/>
    <w:basedOn w:val="13"/>
    <w:link w:val="2"/>
    <w:semiHidden/>
    <w:locked/>
    <w:uiPriority w:val="99"/>
    <w:rPr>
      <w:b/>
      <w:bCs/>
    </w:rPr>
  </w:style>
  <w:style w:type="character" w:customStyle="1" w:styleId="15">
    <w:name w:val="Balloon Text Char"/>
    <w:basedOn w:val="7"/>
    <w:link w:val="4"/>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353</Words>
  <Characters>2017</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2016-08-03T10:15:00Z</dcterms:created>
  <dc:creator>王天峰</dc:creator>
  <cp:lastModifiedBy>user</cp:lastModifiedBy>
  <cp:lastPrinted>2016-08-04T07:17:00Z</cp:lastPrinted>
  <dcterms:modified xsi:type="dcterms:W3CDTF">2016-08-05T01:39:59Z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