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EB67A4" w:rsidRPr="00EB67A4" w:rsidRDefault="004A6D1B" w:rsidP="00EB67A4">
      <w:pPr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r w:rsidRPr="004A6D1B">
        <w:rPr>
          <w:rFonts w:ascii="华文中宋" w:eastAsia="华文中宋" w:hAnsi="华文中宋" w:hint="eastAsia"/>
          <w:sz w:val="32"/>
          <w:szCs w:val="32"/>
          <w:lang w:eastAsia="zh-CN"/>
        </w:rPr>
        <w:t>能源行业</w:t>
      </w:r>
      <w:r w:rsidR="00D1768D" w:rsidRPr="00D1768D">
        <w:rPr>
          <w:rFonts w:ascii="华文中宋" w:eastAsia="华文中宋" w:hAnsi="华文中宋" w:hint="eastAsia"/>
          <w:sz w:val="32"/>
          <w:szCs w:val="32"/>
          <w:lang w:eastAsia="zh-CN"/>
        </w:rPr>
        <w:t>生物质能工程建设标准化技术委员会</w:t>
      </w:r>
      <w:r w:rsidR="00EB67A4" w:rsidRPr="00EB67A4">
        <w:rPr>
          <w:rFonts w:ascii="华文中宋" w:eastAsia="华文中宋" w:hAnsi="华文中宋" w:hint="eastAsia"/>
          <w:sz w:val="32"/>
          <w:szCs w:val="32"/>
          <w:lang w:eastAsia="zh-CN"/>
        </w:rPr>
        <w:t>筹建方案</w:t>
      </w:r>
    </w:p>
    <w:tbl>
      <w:tblPr>
        <w:tblW w:w="4943" w:type="pct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6"/>
        <w:gridCol w:w="5044"/>
        <w:gridCol w:w="1894"/>
        <w:gridCol w:w="2015"/>
        <w:gridCol w:w="1623"/>
      </w:tblGrid>
      <w:tr w:rsidR="00AD04A4" w:rsidRPr="00EB67A4" w:rsidTr="00AD04A4">
        <w:trPr>
          <w:trHeight w:val="926"/>
          <w:jc w:val="center"/>
        </w:trPr>
        <w:tc>
          <w:tcPr>
            <w:tcW w:w="1226" w:type="pct"/>
            <w:vAlign w:val="center"/>
          </w:tcPr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  <w:lang w:eastAsia="zh-CN"/>
              </w:rPr>
            </w:pPr>
            <w:r w:rsidRPr="005F79AF">
              <w:rPr>
                <w:rFonts w:ascii="仿宋_GB2312" w:eastAsia="仿宋_GB2312" w:hint="eastAsia"/>
                <w:b/>
                <w:spacing w:val="-4"/>
                <w:sz w:val="28"/>
                <w:szCs w:val="28"/>
                <w:lang w:eastAsia="zh-CN"/>
              </w:rPr>
              <w:t>拟筹建行业专业标准化技术委员会名称</w:t>
            </w:r>
          </w:p>
        </w:tc>
        <w:tc>
          <w:tcPr>
            <w:tcW w:w="1800" w:type="pct"/>
            <w:vAlign w:val="center"/>
          </w:tcPr>
          <w:p w:rsidR="00EB67A4" w:rsidRPr="005F79AF" w:rsidRDefault="00EB67A4" w:rsidP="00AD04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5F79AF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拟负责制修订行业标准领域</w:t>
            </w:r>
          </w:p>
        </w:tc>
        <w:tc>
          <w:tcPr>
            <w:tcW w:w="676" w:type="pct"/>
            <w:vAlign w:val="center"/>
          </w:tcPr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5F79AF">
              <w:rPr>
                <w:rFonts w:ascii="仿宋_GB2312" w:eastAsia="仿宋_GB2312" w:hint="eastAsia"/>
                <w:b/>
                <w:sz w:val="28"/>
                <w:szCs w:val="28"/>
              </w:rPr>
              <w:t>行业标准化</w:t>
            </w:r>
            <w:proofErr w:type="spellEnd"/>
          </w:p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5F79AF">
              <w:rPr>
                <w:rFonts w:ascii="仿宋_GB2312" w:eastAsia="仿宋_GB2312" w:hint="eastAsia"/>
                <w:b/>
                <w:sz w:val="28"/>
                <w:szCs w:val="28"/>
              </w:rPr>
              <w:t>管理机构</w:t>
            </w:r>
            <w:proofErr w:type="spellEnd"/>
          </w:p>
        </w:tc>
        <w:tc>
          <w:tcPr>
            <w:tcW w:w="719" w:type="pct"/>
            <w:vAlign w:val="center"/>
          </w:tcPr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5F79AF">
              <w:rPr>
                <w:rFonts w:ascii="仿宋_GB2312" w:eastAsia="仿宋_GB2312" w:hint="eastAsia"/>
                <w:b/>
                <w:sz w:val="28"/>
                <w:szCs w:val="28"/>
              </w:rPr>
              <w:t>秘书处</w:t>
            </w:r>
            <w:proofErr w:type="spellEnd"/>
          </w:p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5F79AF">
              <w:rPr>
                <w:rFonts w:ascii="仿宋_GB2312" w:eastAsia="仿宋_GB2312" w:hint="eastAsia"/>
                <w:b/>
                <w:sz w:val="28"/>
                <w:szCs w:val="28"/>
              </w:rPr>
              <w:t>拟承担单位</w:t>
            </w:r>
            <w:proofErr w:type="spellEnd"/>
          </w:p>
        </w:tc>
        <w:tc>
          <w:tcPr>
            <w:tcW w:w="579" w:type="pct"/>
            <w:vAlign w:val="center"/>
          </w:tcPr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5F79AF">
              <w:rPr>
                <w:rFonts w:ascii="仿宋_GB2312" w:eastAsia="仿宋_GB2312" w:hint="eastAsia"/>
                <w:b/>
                <w:sz w:val="28"/>
                <w:szCs w:val="28"/>
              </w:rPr>
              <w:t>国家能源局</w:t>
            </w:r>
            <w:proofErr w:type="spellEnd"/>
          </w:p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5F79AF">
              <w:rPr>
                <w:rFonts w:ascii="仿宋_GB2312" w:eastAsia="仿宋_GB2312" w:hint="eastAsia"/>
                <w:b/>
                <w:sz w:val="28"/>
                <w:szCs w:val="28"/>
              </w:rPr>
              <w:t>联系部门</w:t>
            </w:r>
            <w:proofErr w:type="spellEnd"/>
          </w:p>
        </w:tc>
      </w:tr>
      <w:tr w:rsidR="00AD04A4" w:rsidRPr="00EB67A4" w:rsidTr="00FE18C3">
        <w:trPr>
          <w:trHeight w:val="931"/>
          <w:jc w:val="center"/>
        </w:trPr>
        <w:tc>
          <w:tcPr>
            <w:tcW w:w="1226" w:type="pct"/>
            <w:vAlign w:val="center"/>
          </w:tcPr>
          <w:p w:rsidR="00AD04A4" w:rsidRPr="00EB67A4" w:rsidRDefault="00AD04A4" w:rsidP="004A6D1B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D1768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能源行业生物质能工程建设标准化技术委员会</w:t>
            </w:r>
          </w:p>
        </w:tc>
        <w:tc>
          <w:tcPr>
            <w:tcW w:w="1800" w:type="pct"/>
            <w:vAlign w:val="center"/>
          </w:tcPr>
          <w:p w:rsidR="00AD04A4" w:rsidRPr="00EB67A4" w:rsidRDefault="00AD04A4" w:rsidP="00D1768D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负责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生物质能工程规划、设计、安装、施工、调试、运行等领域的标准化工作。</w:t>
            </w:r>
          </w:p>
        </w:tc>
        <w:tc>
          <w:tcPr>
            <w:tcW w:w="676" w:type="pct"/>
            <w:vMerge w:val="restart"/>
            <w:vAlign w:val="center"/>
          </w:tcPr>
          <w:p w:rsidR="00AD04A4" w:rsidRDefault="00AD04A4" w:rsidP="00D1768D">
            <w:pPr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水电水利规划</w:t>
            </w:r>
          </w:p>
          <w:p w:rsidR="00AD04A4" w:rsidRPr="004A6D1B" w:rsidRDefault="00AD04A4" w:rsidP="00D1768D">
            <w:pPr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设计总院</w:t>
            </w:r>
          </w:p>
        </w:tc>
        <w:tc>
          <w:tcPr>
            <w:tcW w:w="719" w:type="pct"/>
            <w:vMerge w:val="restart"/>
            <w:vAlign w:val="center"/>
          </w:tcPr>
          <w:p w:rsidR="00AD04A4" w:rsidRDefault="00AD04A4" w:rsidP="00D176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554D8">
              <w:rPr>
                <w:rFonts w:ascii="仿宋_GB2312" w:eastAsia="仿宋_GB2312"/>
                <w:sz w:val="28"/>
                <w:szCs w:val="28"/>
                <w:lang w:eastAsia="zh-CN"/>
              </w:rPr>
              <w:t>水电水利规划</w:t>
            </w:r>
          </w:p>
          <w:p w:rsidR="00AD04A4" w:rsidRPr="00D1768D" w:rsidRDefault="00AD04A4" w:rsidP="00D176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554D8">
              <w:rPr>
                <w:rFonts w:ascii="仿宋_GB2312" w:eastAsia="仿宋_GB2312"/>
                <w:sz w:val="28"/>
                <w:szCs w:val="28"/>
                <w:lang w:eastAsia="zh-CN"/>
              </w:rPr>
              <w:t>设计总院</w:t>
            </w:r>
          </w:p>
        </w:tc>
        <w:tc>
          <w:tcPr>
            <w:tcW w:w="579" w:type="pct"/>
            <w:vMerge w:val="restart"/>
            <w:vAlign w:val="center"/>
          </w:tcPr>
          <w:p w:rsidR="00AD04A4" w:rsidRPr="00EB67A4" w:rsidRDefault="00AD04A4" w:rsidP="00D176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能源节约和科技装备司</w:t>
            </w:r>
          </w:p>
        </w:tc>
      </w:tr>
      <w:tr w:rsidR="00AD04A4" w:rsidRPr="00EB67A4" w:rsidTr="00AD04A4">
        <w:trPr>
          <w:trHeight w:val="1929"/>
          <w:jc w:val="center"/>
        </w:trPr>
        <w:tc>
          <w:tcPr>
            <w:tcW w:w="1226" w:type="pct"/>
            <w:vAlign w:val="center"/>
          </w:tcPr>
          <w:p w:rsidR="00AD04A4" w:rsidRPr="00D1768D" w:rsidRDefault="00AD04A4" w:rsidP="004A6D1B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D1768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能源行业生物质能工程建设标准化技术委员会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生物质能固态利用及发电工程分技术委员会</w:t>
            </w:r>
          </w:p>
        </w:tc>
        <w:tc>
          <w:tcPr>
            <w:tcW w:w="1800" w:type="pct"/>
            <w:vAlign w:val="center"/>
          </w:tcPr>
          <w:p w:rsidR="00AD04A4" w:rsidRPr="00EB67A4" w:rsidRDefault="00AD04A4" w:rsidP="00A839C4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包括生物质成型燃料、木炭、农林生物质原料、生物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基材料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与化学品等的能源化利用（包括供暖、工业用热、区域供热、炊事等）及生物质发电（包括发电及热电冷联产等）工程的设计、安装、施工、调试、运行等领域的标准化工作。</w:t>
            </w:r>
          </w:p>
        </w:tc>
        <w:tc>
          <w:tcPr>
            <w:tcW w:w="676" w:type="pct"/>
            <w:vMerge/>
            <w:vAlign w:val="center"/>
          </w:tcPr>
          <w:p w:rsidR="00AD04A4" w:rsidRPr="00D1768D" w:rsidRDefault="00AD04A4" w:rsidP="00D176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719" w:type="pct"/>
            <w:vMerge/>
            <w:vAlign w:val="center"/>
          </w:tcPr>
          <w:p w:rsidR="00AD04A4" w:rsidRPr="00D1768D" w:rsidRDefault="00AD04A4" w:rsidP="00D176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79" w:type="pct"/>
            <w:vMerge/>
            <w:vAlign w:val="center"/>
          </w:tcPr>
          <w:p w:rsidR="00AD04A4" w:rsidRPr="00EB67A4" w:rsidRDefault="00AD04A4" w:rsidP="00D176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AD04A4" w:rsidRPr="00EB67A4" w:rsidTr="00FE18C3">
        <w:trPr>
          <w:trHeight w:val="1470"/>
          <w:jc w:val="center"/>
        </w:trPr>
        <w:tc>
          <w:tcPr>
            <w:tcW w:w="1226" w:type="pct"/>
            <w:vAlign w:val="center"/>
          </w:tcPr>
          <w:p w:rsidR="00AD04A4" w:rsidRPr="00D1768D" w:rsidRDefault="00AD04A4" w:rsidP="004A6D1B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D1768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能源行业生物质能工程建设标准化技术委员会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生物质能气态利用工程分技术委员会</w:t>
            </w:r>
          </w:p>
        </w:tc>
        <w:tc>
          <w:tcPr>
            <w:tcW w:w="1800" w:type="pct"/>
            <w:vAlign w:val="center"/>
          </w:tcPr>
          <w:p w:rsidR="00AD04A4" w:rsidRPr="00EB67A4" w:rsidRDefault="00AD04A4" w:rsidP="00A839C4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通过厌氧发酵及热化学气化制取的生物质燃气、沼气、氢气、一氧化碳等气体燃料能源化利用工程的设计、安装、施工、调试、运行等领域的标准化工作。</w:t>
            </w:r>
          </w:p>
        </w:tc>
        <w:tc>
          <w:tcPr>
            <w:tcW w:w="676" w:type="pct"/>
            <w:vMerge/>
            <w:vAlign w:val="center"/>
          </w:tcPr>
          <w:p w:rsidR="00AD04A4" w:rsidRPr="00D1768D" w:rsidRDefault="00AD04A4" w:rsidP="00D176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719" w:type="pct"/>
            <w:vMerge/>
            <w:vAlign w:val="center"/>
          </w:tcPr>
          <w:p w:rsidR="00AD04A4" w:rsidRPr="00D1768D" w:rsidRDefault="00AD04A4" w:rsidP="00D176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79" w:type="pct"/>
            <w:vMerge/>
            <w:vAlign w:val="center"/>
          </w:tcPr>
          <w:p w:rsidR="00AD04A4" w:rsidRPr="00EB67A4" w:rsidRDefault="00AD04A4" w:rsidP="00D176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 w:rsidR="000E7B7A" w:rsidRPr="008B063E" w:rsidRDefault="000E7B7A">
      <w:pPr>
        <w:rPr>
          <w:lang w:eastAsia="zh-CN"/>
        </w:rPr>
      </w:pPr>
    </w:p>
    <w:sectPr w:rsidR="000E7B7A" w:rsidRPr="008B063E" w:rsidSect="00EB67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2B" w:rsidRDefault="004D542B" w:rsidP="00EB67A4">
      <w:pPr>
        <w:spacing w:line="240" w:lineRule="auto"/>
      </w:pPr>
      <w:r>
        <w:separator/>
      </w:r>
    </w:p>
  </w:endnote>
  <w:endnote w:type="continuationSeparator" w:id="0">
    <w:p w:rsidR="004D542B" w:rsidRDefault="004D542B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2B" w:rsidRDefault="004D542B" w:rsidP="00EB67A4">
      <w:pPr>
        <w:spacing w:line="240" w:lineRule="auto"/>
      </w:pPr>
      <w:r>
        <w:separator/>
      </w:r>
    </w:p>
  </w:footnote>
  <w:footnote w:type="continuationSeparator" w:id="0">
    <w:p w:rsidR="004D542B" w:rsidRDefault="004D542B" w:rsidP="00EB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A5EAA"/>
    <w:rsid w:val="000B19F4"/>
    <w:rsid w:val="000B5A95"/>
    <w:rsid w:val="000C59C0"/>
    <w:rsid w:val="000E7B7A"/>
    <w:rsid w:val="001537BD"/>
    <w:rsid w:val="002E09D0"/>
    <w:rsid w:val="00317013"/>
    <w:rsid w:val="00352284"/>
    <w:rsid w:val="00352D3C"/>
    <w:rsid w:val="00396906"/>
    <w:rsid w:val="004A6D1B"/>
    <w:rsid w:val="004C781E"/>
    <w:rsid w:val="004D542B"/>
    <w:rsid w:val="005F79AF"/>
    <w:rsid w:val="0068378E"/>
    <w:rsid w:val="007A68EA"/>
    <w:rsid w:val="008B063E"/>
    <w:rsid w:val="008F734E"/>
    <w:rsid w:val="00914650"/>
    <w:rsid w:val="00A0304E"/>
    <w:rsid w:val="00A10484"/>
    <w:rsid w:val="00A21356"/>
    <w:rsid w:val="00A377F9"/>
    <w:rsid w:val="00A74B05"/>
    <w:rsid w:val="00AD04A4"/>
    <w:rsid w:val="00B36057"/>
    <w:rsid w:val="00B5119C"/>
    <w:rsid w:val="00C6689C"/>
    <w:rsid w:val="00C86C49"/>
    <w:rsid w:val="00CD08E7"/>
    <w:rsid w:val="00D1768D"/>
    <w:rsid w:val="00D40236"/>
    <w:rsid w:val="00D82EF3"/>
    <w:rsid w:val="00DF0D3E"/>
    <w:rsid w:val="00EB67A4"/>
    <w:rsid w:val="00F90E58"/>
    <w:rsid w:val="00FC6D31"/>
    <w:rsid w:val="00FE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B6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tengyun</dc:creator>
  <cp:keywords/>
  <dc:description/>
  <cp:lastModifiedBy>tengyun</cp:lastModifiedBy>
  <cp:revision>14</cp:revision>
  <cp:lastPrinted>2017-04-07T06:46:00Z</cp:lastPrinted>
  <dcterms:created xsi:type="dcterms:W3CDTF">2017-01-13T02:14:00Z</dcterms:created>
  <dcterms:modified xsi:type="dcterms:W3CDTF">2017-04-07T06:49:00Z</dcterms:modified>
</cp:coreProperties>
</file>