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国家能源局2017年能源规划研究课题公开招标中标结果</w:t>
      </w:r>
    </w:p>
    <w:bookmarkEnd w:id="0"/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W w:w="9094" w:type="dxa"/>
        <w:jc w:val="center"/>
        <w:tblInd w:w="-1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835"/>
        <w:gridCol w:w="3490"/>
        <w:gridCol w:w="1896"/>
      </w:tblGrid>
      <w:tr>
        <w:trPr>
          <w:jc w:val="center"/>
        </w:trPr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课题题目</w:t>
            </w:r>
          </w:p>
        </w:tc>
        <w:tc>
          <w:tcPr>
            <w:tcW w:w="349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中标单位</w:t>
            </w:r>
          </w:p>
        </w:tc>
        <w:tc>
          <w:tcPr>
            <w:tcW w:w="1896" w:type="dxa"/>
            <w:vAlign w:val="top"/>
          </w:tcPr>
          <w:p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</w:tr>
      <w:tr>
        <w:trPr>
          <w:jc w:val="center"/>
        </w:trPr>
        <w:tc>
          <w:tcPr>
            <w:tcW w:w="87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促进我国能源转型的能源市场体系建设相关问题研究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国家发展和改革委员会市场与价格研究所、国家发展和改革委员会能源研究所（以上2家为一个申报主体）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立足国内煤炭资源加大技术攻关力度，确保能源安全研究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子课题1：低阶煤分质利用技术在推进能源革命中的作用研究</w:t>
            </w:r>
          </w:p>
        </w:tc>
        <w:tc>
          <w:tcPr>
            <w:tcW w:w="349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中国五环工程有限公司、国家能源低阶煤综合利用研发中心、中国化学工程股份有限公司（以上3家为一个申报主体）</w:t>
            </w:r>
          </w:p>
        </w:tc>
        <w:tc>
          <w:tcPr>
            <w:tcW w:w="189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子课题2：传统煤化工及小炼油项目采用甲烷化技术联产（改产）替代天然气潜力及典型方案研究</w:t>
            </w:r>
          </w:p>
        </w:tc>
        <w:tc>
          <w:tcPr>
            <w:tcW w:w="349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石油和化学工业联合会、河南龙成集团有限公司、大唐国际化工技术研究院有限公司、石油和化工规划院、中国氮肥工业协会、煤炭科学研究总院北京煤化工研究分院、中国炼焦行业协会（以上7家为一个申报主体）</w:t>
            </w:r>
          </w:p>
        </w:tc>
        <w:tc>
          <w:tcPr>
            <w:tcW w:w="189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537" w:hRule="atLeast"/>
          <w:jc w:val="center"/>
        </w:trPr>
        <w:tc>
          <w:tcPr>
            <w:tcW w:w="87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能源互联网推进方案及相关政策研究</w:t>
            </w:r>
          </w:p>
        </w:tc>
        <w:tc>
          <w:tcPr>
            <w:tcW w:w="349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清华大学</w:t>
            </w:r>
          </w:p>
        </w:tc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分省分区域合理电源发展战略研究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电力规划总院有限公司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全国及分省区煤炭产运需研究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中国煤炭工业协会、中国煤炭运销协会（以上2家为一个申报主体）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2050年可再生能源发展战略研究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子课题1：2050年可再生能源发展战略体系研究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国家发展和改革委员会能源研究所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子课题2：可再生能源成本跟踪评价研究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水电水利规划设计总院，国家发展和改革委员会能源研究所，卓尔德环境咨询（北京）有限公司（联合承担）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水电水利规划设计总院牵头负责</w:t>
            </w:r>
          </w:p>
        </w:tc>
      </w:tr>
      <w:tr>
        <w:trPr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子课题3：中国清洁低碳能源发展路径选择及系统优化研究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电力规划总院有限公司，国家发展和改革委员会能源研究所（联合承担）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电力规划总院有限公司牵头负责</w:t>
            </w:r>
          </w:p>
        </w:tc>
      </w:tr>
      <w:tr>
        <w:trPr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北方地区冬季清洁取暖研究</w:t>
            </w:r>
          </w:p>
        </w:tc>
        <w:tc>
          <w:tcPr>
            <w:tcW w:w="349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子课题1：北方地区冬季清洁供暖研究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电力规划总院有限公司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子课题2：北方清洁取暖“煤改气”经济性、环境性比较研究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中国石油天然气股份有限公司规划总院、北京市劳动保护科学研究院、国网能源研究院（以上3家为一个申报主体）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2030、2050年我国核电中长期发展战略研究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中国核电发展中心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华北天然气市场发展路径及储气调峰机制研究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中国石油天然气股份有限公司规划总院、中国石油天然气销售北方分公司（以上2家为一个申报主体）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西南水电智能调度及合理消纳机制研究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水电水利规划设计总院，华北电力大学</w:t>
            </w:r>
            <w:r>
              <w:rPr>
                <w:rFonts w:hint="eastAsia" w:ascii="仿宋_GB2312" w:eastAsia="仿宋_GB2312"/>
                <w:szCs w:val="21"/>
              </w:rPr>
              <w:t>（联合承担）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水电水利规划设计总院牵头负责</w:t>
            </w:r>
          </w:p>
        </w:tc>
      </w:tr>
      <w:tr>
        <w:trPr>
          <w:jc w:val="center"/>
        </w:trPr>
        <w:tc>
          <w:tcPr>
            <w:tcW w:w="87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流域梯级水电站失事风险防控与应急管理研究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水电水利规划设计总院、南京水利科学研究院、中国大坝工程学会、清华大学土木水利学院（以上4家为一个申报主体）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“一带一路”重点国家电力市场发展分析研究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电力规划总院有限公司、国网能源研究院（以上2家为一个申报主体）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2050年能源绿色低碳转型路线图若干问题深化研究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子课题1：城市和农村能源变革模式及实施路径研究</w:t>
            </w:r>
          </w:p>
        </w:tc>
        <w:tc>
          <w:tcPr>
            <w:tcW w:w="349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中国工程院战略咨询中心、国网（苏州）城市能源研究院有限责任公司（以上2家为一个申报主体），国网河南省电力公司经济技术研究院（联合承担）</w:t>
            </w:r>
          </w:p>
        </w:tc>
        <w:tc>
          <w:tcPr>
            <w:tcW w:w="189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中国工程院战略咨询中心牵头负责</w:t>
            </w:r>
          </w:p>
        </w:tc>
      </w:tr>
      <w:tr>
        <w:trPr>
          <w:trHeight w:val="1596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子课题2：2050年能源绿色转型产业发展研究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国家发展和改革委员会能源研究所、清华大学、中关村储能产业技术联盟（以上3家为一个申报主体），北京计鹏信息咨询有限公司（联合承担）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国家发展和改革委员会能源研究所牵头负责</w:t>
            </w:r>
          </w:p>
        </w:tc>
      </w:tr>
      <w:tr>
        <w:trPr>
          <w:trHeight w:val="1599" w:hRule="atLeast"/>
          <w:jc w:val="center"/>
        </w:trPr>
        <w:tc>
          <w:tcPr>
            <w:tcW w:w="87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雄安新区能源发展规划研究</w:t>
            </w:r>
          </w:p>
        </w:tc>
        <w:tc>
          <w:tcPr>
            <w:tcW w:w="34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电力规划总院有限公司；中国</w:t>
            </w:r>
            <w:r>
              <w:rPr>
                <w:rFonts w:ascii="仿宋_GB2312" w:eastAsia="仿宋_GB2312"/>
                <w:szCs w:val="21"/>
              </w:rPr>
              <w:t>国际工程咨询有限公司、国网能源研究院（以上2家联合承担）</w:t>
            </w:r>
            <w:r>
              <w:rPr>
                <w:rFonts w:hint="eastAsia" w:ascii="仿宋_GB2312" w:eastAsia="仿宋_GB2312"/>
                <w:szCs w:val="21"/>
              </w:rPr>
              <w:t>；国务院发展研究中心资源与环境政策研究所、水电水利规划总院、清华大学、华源电力公司（以上4家为一个申报主体）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三个主体分别独立承担，分别提交成果</w:t>
            </w:r>
          </w:p>
        </w:tc>
      </w:tr>
      <w:tr>
        <w:trPr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落实新理念培育新动能推动能源产业转型升级政策措施研究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子课题1：2030年能源主要品种发展定位和政策研究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国家发展和改革委员会能源研究所；中国能源研究会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两个主体分别独立承担，分别提交成果</w:t>
            </w:r>
          </w:p>
        </w:tc>
      </w:tr>
      <w:tr>
        <w:trPr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子课题2：关于能源产业新旧动能转换和转型升级的政策措施研究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中国电力企业联合会电力建设技术经济咨询中心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87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能源景气指数构建与应用研究</w:t>
            </w:r>
          </w:p>
        </w:tc>
        <w:tc>
          <w:tcPr>
            <w:tcW w:w="349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国家信息中心经济预测部；国网能源研究院；电力规划总院有限公司</w:t>
            </w:r>
          </w:p>
        </w:tc>
        <w:tc>
          <w:tcPr>
            <w:tcW w:w="189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三个主体分别独立承担，分别提交成果</w:t>
            </w:r>
          </w:p>
        </w:tc>
      </w:tr>
    </w:tbl>
    <w:p>
      <w:pPr>
        <w:rPr>
          <w:rFonts w:ascii="华文中宋" w:hAnsi="华文中宋" w:eastAsia="华文中宋"/>
          <w:b/>
          <w:sz w:val="36"/>
          <w:szCs w:val="36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rFonts w:hint="eastAsia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2"/>
    <w:semiHidden/>
    <w:unhideWhenUsed/>
    <w:uiPriority w:val="99"/>
    <w:rPr>
      <w:b/>
      <w:bCs/>
    </w:rPr>
  </w:style>
  <w:style w:type="paragraph" w:styleId="3">
    <w:name w:val="annotation text"/>
    <w:basedOn w:val="1"/>
    <w:link w:val="11"/>
    <w:semiHidden/>
    <w:unhideWhenUsed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页眉 Char Char"/>
    <w:basedOn w:val="7"/>
    <w:link w:val="6"/>
    <w:uiPriority w:val="99"/>
    <w:rPr>
      <w:sz w:val="18"/>
      <w:szCs w:val="18"/>
    </w:rPr>
  </w:style>
  <w:style w:type="character" w:customStyle="1" w:styleId="10">
    <w:name w:val="页脚 Char Char"/>
    <w:basedOn w:val="7"/>
    <w:link w:val="5"/>
    <w:uiPriority w:val="99"/>
    <w:rPr>
      <w:sz w:val="18"/>
      <w:szCs w:val="18"/>
    </w:rPr>
  </w:style>
  <w:style w:type="character" w:customStyle="1" w:styleId="11">
    <w:name w:val="批注文字 Char Char"/>
    <w:basedOn w:val="7"/>
    <w:link w:val="3"/>
    <w:uiPriority w:val="99"/>
    <w:rPr/>
  </w:style>
  <w:style w:type="character" w:customStyle="1" w:styleId="12">
    <w:name w:val="批注主题 Char Char"/>
    <w:basedOn w:val="11"/>
    <w:link w:val="2"/>
    <w:uiPriority w:val="99"/>
    <w:rPr>
      <w:b/>
      <w:bCs/>
    </w:rPr>
  </w:style>
  <w:style w:type="character" w:customStyle="1" w:styleId="13">
    <w:name w:val="批注框文本 Char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298</Words>
  <Characters>1703</Characters>
  <Lines>14</Lines>
  <Paragraphs>3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2017-08-09T01:17:00Z</dcterms:created>
  <cp:lastModifiedBy>goveditor</cp:lastModifiedBy>
  <cp:lastPrinted>2017-08-09T07:43:00Z</cp:lastPrinted>
  <dcterms:modified xsi:type="dcterms:W3CDTF">2017-08-10T08:39:56Z</dcterms:modified>
  <dc:title>国家能源局2017年能源规划研究课题公开招标中标结果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