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rPr>
          <w:rFonts w:ascii="仿宋_GB2312" w:hAnsi="Times New Roman" w:eastAsia="仿宋_GB2312"/>
          <w:sz w:val="32"/>
          <w:szCs w:val="32"/>
        </w:rPr>
      </w:pPr>
      <w:r>
        <w:rPr>
          <w:rFonts w:hint="eastAsia" w:ascii="仿宋_GB2312" w:hAnsi="Times New Roman" w:eastAsia="仿宋_GB2312"/>
          <w:sz w:val="32"/>
          <w:szCs w:val="32"/>
        </w:rPr>
        <w:t>附件</w:t>
      </w:r>
    </w:p>
    <w:p>
      <w:pPr>
        <w:spacing w:afterLines="50" w:line="360" w:lineRule="auto"/>
        <w:jc w:val="center"/>
        <w:rPr>
          <w:rFonts w:ascii="华文中宋" w:hAnsi="华文中宋" w:eastAsia="华文中宋"/>
          <w:sz w:val="32"/>
          <w:szCs w:val="32"/>
        </w:rPr>
      </w:pPr>
      <w:r>
        <w:rPr>
          <w:rFonts w:hint="eastAsia" w:ascii="华文中宋" w:hAnsi="华文中宋" w:eastAsia="华文中宋"/>
          <w:sz w:val="32"/>
          <w:szCs w:val="32"/>
        </w:rPr>
        <w:t>各省（自治区）申报基地基本情况汇总表</w:t>
      </w:r>
    </w:p>
    <w:tbl>
      <w:tblPr>
        <w:tblW w:w="9785" w:type="dxa"/>
        <w:jc w:val="center"/>
        <w:tblInd w:w="-8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418"/>
        <w:gridCol w:w="1096"/>
        <w:gridCol w:w="2164"/>
        <w:gridCol w:w="1248"/>
        <w:gridCol w:w="1445"/>
        <w:gridCol w:w="1532"/>
      </w:tblGrid>
      <w:tr>
        <w:trPr>
          <w:trHeight w:val="280" w:hRule="atLeast"/>
          <w:jc w:val="center"/>
        </w:trPr>
        <w:tc>
          <w:tcPr>
            <w:tcW w:w="88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41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省（自治区）</w:t>
            </w:r>
          </w:p>
        </w:tc>
        <w:tc>
          <w:tcPr>
            <w:tcW w:w="1096"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申报数量（个）</w:t>
            </w:r>
          </w:p>
        </w:tc>
        <w:tc>
          <w:tcPr>
            <w:tcW w:w="2164"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申报应用</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领跑基地</w:t>
            </w:r>
            <w:bookmarkStart w:id="0" w:name="_GoBack"/>
            <w:bookmarkEnd w:id="0"/>
          </w:p>
        </w:tc>
        <w:tc>
          <w:tcPr>
            <w:tcW w:w="124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申报技术</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领跑基地</w:t>
            </w:r>
          </w:p>
        </w:tc>
        <w:tc>
          <w:tcPr>
            <w:tcW w:w="1445"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上报时间</w:t>
            </w:r>
          </w:p>
        </w:tc>
        <w:tc>
          <w:tcPr>
            <w:tcW w:w="153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初步形式</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审查意见</w:t>
            </w:r>
          </w:p>
        </w:tc>
      </w:tr>
      <w:tr>
        <w:trPr>
          <w:trHeight w:val="280" w:hRule="atLeast"/>
          <w:jc w:val="center"/>
        </w:trPr>
        <w:tc>
          <w:tcPr>
            <w:tcW w:w="88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41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江苏省</w:t>
            </w:r>
          </w:p>
        </w:tc>
        <w:tc>
          <w:tcPr>
            <w:tcW w:w="1096"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164"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泗洪县、宝应县</w:t>
            </w:r>
          </w:p>
        </w:tc>
        <w:tc>
          <w:tcPr>
            <w:tcW w:w="124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沛县</w:t>
            </w:r>
          </w:p>
        </w:tc>
        <w:tc>
          <w:tcPr>
            <w:tcW w:w="1445"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10月27日</w:t>
            </w:r>
          </w:p>
        </w:tc>
        <w:tc>
          <w:tcPr>
            <w:tcW w:w="1532" w:type="dxa"/>
            <w:vAlign w:val="top"/>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通过</w:t>
            </w:r>
          </w:p>
        </w:tc>
      </w:tr>
      <w:tr>
        <w:trPr>
          <w:trHeight w:val="280" w:hRule="atLeast"/>
          <w:jc w:val="center"/>
        </w:trPr>
        <w:tc>
          <w:tcPr>
            <w:tcW w:w="88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41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吉林省</w:t>
            </w:r>
          </w:p>
        </w:tc>
        <w:tc>
          <w:tcPr>
            <w:tcW w:w="1096"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64"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白城市</w:t>
            </w:r>
          </w:p>
        </w:tc>
        <w:tc>
          <w:tcPr>
            <w:tcW w:w="1248" w:type="dxa"/>
            <w:vAlign w:val="center"/>
          </w:tcPr>
          <w:p>
            <w:pPr>
              <w:widowControl/>
              <w:jc w:val="center"/>
              <w:rPr>
                <w:rFonts w:ascii="宋体" w:hAnsi="宋体" w:cs="宋体"/>
                <w:color w:val="000000"/>
                <w:kern w:val="0"/>
                <w:sz w:val="20"/>
                <w:szCs w:val="20"/>
              </w:rPr>
            </w:pPr>
          </w:p>
        </w:tc>
        <w:tc>
          <w:tcPr>
            <w:tcW w:w="1445"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10月30日</w:t>
            </w:r>
          </w:p>
        </w:tc>
        <w:tc>
          <w:tcPr>
            <w:tcW w:w="1532" w:type="dxa"/>
            <w:vAlign w:val="top"/>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通过</w:t>
            </w:r>
          </w:p>
        </w:tc>
      </w:tr>
      <w:tr>
        <w:trPr>
          <w:trHeight w:val="280" w:hRule="atLeast"/>
          <w:jc w:val="center"/>
        </w:trPr>
        <w:tc>
          <w:tcPr>
            <w:tcW w:w="88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41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山西省</w:t>
            </w:r>
          </w:p>
        </w:tc>
        <w:tc>
          <w:tcPr>
            <w:tcW w:w="1096"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164"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大同市、寿阳县</w:t>
            </w:r>
          </w:p>
        </w:tc>
        <w:tc>
          <w:tcPr>
            <w:tcW w:w="124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长治市</w:t>
            </w:r>
          </w:p>
        </w:tc>
        <w:tc>
          <w:tcPr>
            <w:tcW w:w="1445"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10月30日</w:t>
            </w:r>
          </w:p>
        </w:tc>
        <w:tc>
          <w:tcPr>
            <w:tcW w:w="1532" w:type="dxa"/>
            <w:vAlign w:val="top"/>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通过</w:t>
            </w:r>
          </w:p>
        </w:tc>
      </w:tr>
      <w:tr>
        <w:trPr>
          <w:trHeight w:val="280" w:hRule="atLeast"/>
          <w:jc w:val="center"/>
        </w:trPr>
        <w:tc>
          <w:tcPr>
            <w:tcW w:w="88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41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河北省</w:t>
            </w:r>
          </w:p>
        </w:tc>
        <w:tc>
          <w:tcPr>
            <w:tcW w:w="1096"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164"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沧州市、保定市</w:t>
            </w:r>
          </w:p>
        </w:tc>
        <w:tc>
          <w:tcPr>
            <w:tcW w:w="124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承德市</w:t>
            </w:r>
          </w:p>
        </w:tc>
        <w:tc>
          <w:tcPr>
            <w:tcW w:w="1445"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10月30日</w:t>
            </w:r>
          </w:p>
        </w:tc>
        <w:tc>
          <w:tcPr>
            <w:tcW w:w="1532" w:type="dxa"/>
            <w:vAlign w:val="top"/>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通过</w:t>
            </w:r>
          </w:p>
        </w:tc>
      </w:tr>
      <w:tr>
        <w:trPr>
          <w:trHeight w:val="280" w:hRule="atLeast"/>
          <w:jc w:val="center"/>
        </w:trPr>
        <w:tc>
          <w:tcPr>
            <w:tcW w:w="882"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418"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江西省</w:t>
            </w:r>
          </w:p>
        </w:tc>
        <w:tc>
          <w:tcPr>
            <w:tcW w:w="1096"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216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新余市</w:t>
            </w:r>
          </w:p>
        </w:tc>
        <w:tc>
          <w:tcPr>
            <w:tcW w:w="1248"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上饶市</w:t>
            </w:r>
          </w:p>
        </w:tc>
        <w:tc>
          <w:tcPr>
            <w:tcW w:w="1445"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10月30日</w:t>
            </w:r>
          </w:p>
        </w:tc>
        <w:tc>
          <w:tcPr>
            <w:tcW w:w="1532" w:type="dxa"/>
            <w:vAlign w:val="top"/>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新余市项目申报规模不符合要求</w:t>
            </w:r>
          </w:p>
        </w:tc>
      </w:tr>
      <w:tr>
        <w:trPr>
          <w:trHeight w:val="280" w:hRule="atLeast"/>
          <w:jc w:val="center"/>
        </w:trPr>
        <w:tc>
          <w:tcPr>
            <w:tcW w:w="882" w:type="dxa"/>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6</w:t>
            </w:r>
          </w:p>
        </w:tc>
        <w:tc>
          <w:tcPr>
            <w:tcW w:w="1418" w:type="dxa"/>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新疆自治区</w:t>
            </w:r>
          </w:p>
        </w:tc>
        <w:tc>
          <w:tcPr>
            <w:tcW w:w="1096" w:type="dxa"/>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216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拜城县</w:t>
            </w:r>
          </w:p>
        </w:tc>
        <w:tc>
          <w:tcPr>
            <w:tcW w:w="1248"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拜城县</w:t>
            </w:r>
          </w:p>
        </w:tc>
        <w:tc>
          <w:tcPr>
            <w:tcW w:w="1445" w:type="dxa"/>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10月31日</w:t>
            </w:r>
          </w:p>
        </w:tc>
        <w:tc>
          <w:tcPr>
            <w:tcW w:w="1532" w:type="dxa"/>
            <w:vAlign w:val="top"/>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全区弃光率明显偏高，不通过</w:t>
            </w:r>
          </w:p>
        </w:tc>
      </w:tr>
      <w:tr>
        <w:trPr>
          <w:trHeight w:val="280" w:hRule="atLeast"/>
          <w:jc w:val="center"/>
        </w:trPr>
        <w:tc>
          <w:tcPr>
            <w:tcW w:w="88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41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山东省</w:t>
            </w:r>
          </w:p>
        </w:tc>
        <w:tc>
          <w:tcPr>
            <w:tcW w:w="1096"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164"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东营市、潍坊市</w:t>
            </w:r>
          </w:p>
        </w:tc>
        <w:tc>
          <w:tcPr>
            <w:tcW w:w="124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德州市</w:t>
            </w:r>
          </w:p>
        </w:tc>
        <w:tc>
          <w:tcPr>
            <w:tcW w:w="1445"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10月31日</w:t>
            </w:r>
          </w:p>
        </w:tc>
        <w:tc>
          <w:tcPr>
            <w:tcW w:w="1532" w:type="dxa"/>
            <w:vAlign w:val="top"/>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通过</w:t>
            </w:r>
          </w:p>
        </w:tc>
      </w:tr>
      <w:tr>
        <w:trPr>
          <w:trHeight w:val="280" w:hRule="atLeast"/>
          <w:jc w:val="center"/>
        </w:trPr>
        <w:tc>
          <w:tcPr>
            <w:tcW w:w="88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41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陕西省</w:t>
            </w:r>
          </w:p>
        </w:tc>
        <w:tc>
          <w:tcPr>
            <w:tcW w:w="1096"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164"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渭南市、榆林市</w:t>
            </w:r>
          </w:p>
        </w:tc>
        <w:tc>
          <w:tcPr>
            <w:tcW w:w="124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铜川市</w:t>
            </w:r>
          </w:p>
        </w:tc>
        <w:tc>
          <w:tcPr>
            <w:tcW w:w="1445"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10月31日</w:t>
            </w:r>
          </w:p>
        </w:tc>
        <w:tc>
          <w:tcPr>
            <w:tcW w:w="1532" w:type="dxa"/>
            <w:vAlign w:val="top"/>
          </w:tcPr>
          <w:p>
            <w:pPr>
              <w:jc w:val="center"/>
              <w:rPr>
                <w:rFonts w:ascii="宋体" w:hAnsi="宋体"/>
                <w:sz w:val="20"/>
                <w:szCs w:val="20"/>
              </w:rPr>
            </w:pPr>
            <w:r>
              <w:rPr>
                <w:rFonts w:hint="eastAsia" w:ascii="宋体" w:hAnsi="宋体" w:cs="宋体"/>
                <w:color w:val="000000"/>
                <w:kern w:val="0"/>
                <w:sz w:val="20"/>
                <w:szCs w:val="20"/>
              </w:rPr>
              <w:t>通过</w:t>
            </w:r>
          </w:p>
        </w:tc>
      </w:tr>
      <w:tr>
        <w:trPr>
          <w:trHeight w:val="280" w:hRule="atLeast"/>
          <w:jc w:val="center"/>
        </w:trPr>
        <w:tc>
          <w:tcPr>
            <w:tcW w:w="88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41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青海省</w:t>
            </w:r>
          </w:p>
        </w:tc>
        <w:tc>
          <w:tcPr>
            <w:tcW w:w="1096"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164"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德令哈市、格尔木市</w:t>
            </w:r>
          </w:p>
        </w:tc>
        <w:tc>
          <w:tcPr>
            <w:tcW w:w="124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共和县</w:t>
            </w:r>
          </w:p>
        </w:tc>
        <w:tc>
          <w:tcPr>
            <w:tcW w:w="1445"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10月31日</w:t>
            </w:r>
          </w:p>
        </w:tc>
        <w:tc>
          <w:tcPr>
            <w:tcW w:w="1532" w:type="dxa"/>
            <w:vAlign w:val="top"/>
          </w:tcPr>
          <w:p>
            <w:pPr>
              <w:jc w:val="center"/>
              <w:rPr>
                <w:rFonts w:ascii="宋体" w:hAnsi="宋体"/>
                <w:sz w:val="20"/>
                <w:szCs w:val="20"/>
              </w:rPr>
            </w:pPr>
            <w:r>
              <w:rPr>
                <w:rFonts w:hint="eastAsia" w:ascii="宋体" w:hAnsi="宋体" w:cs="宋体"/>
                <w:color w:val="000000"/>
                <w:kern w:val="0"/>
                <w:sz w:val="20"/>
                <w:szCs w:val="20"/>
              </w:rPr>
              <w:t>通过</w:t>
            </w:r>
          </w:p>
        </w:tc>
      </w:tr>
      <w:tr>
        <w:trPr>
          <w:trHeight w:val="280" w:hRule="atLeast"/>
          <w:jc w:val="center"/>
        </w:trPr>
        <w:tc>
          <w:tcPr>
            <w:tcW w:w="88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41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河南省</w:t>
            </w:r>
          </w:p>
        </w:tc>
        <w:tc>
          <w:tcPr>
            <w:tcW w:w="1096"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164"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鹤壁市、禹州市</w:t>
            </w:r>
          </w:p>
        </w:tc>
        <w:tc>
          <w:tcPr>
            <w:tcW w:w="124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南阳市</w:t>
            </w:r>
          </w:p>
        </w:tc>
        <w:tc>
          <w:tcPr>
            <w:tcW w:w="1445"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10月31日</w:t>
            </w:r>
          </w:p>
        </w:tc>
        <w:tc>
          <w:tcPr>
            <w:tcW w:w="1532" w:type="dxa"/>
            <w:vAlign w:val="top"/>
          </w:tcPr>
          <w:p>
            <w:pPr>
              <w:jc w:val="center"/>
              <w:rPr>
                <w:rFonts w:ascii="宋体" w:hAnsi="宋体"/>
                <w:sz w:val="20"/>
                <w:szCs w:val="20"/>
              </w:rPr>
            </w:pPr>
            <w:r>
              <w:rPr>
                <w:rFonts w:hint="eastAsia" w:ascii="宋体" w:hAnsi="宋体" w:cs="宋体"/>
                <w:color w:val="000000"/>
                <w:kern w:val="0"/>
                <w:sz w:val="20"/>
                <w:szCs w:val="20"/>
              </w:rPr>
              <w:t>通过</w:t>
            </w:r>
          </w:p>
        </w:tc>
      </w:tr>
      <w:tr>
        <w:trPr>
          <w:trHeight w:val="280" w:hRule="atLeast"/>
          <w:jc w:val="center"/>
        </w:trPr>
        <w:tc>
          <w:tcPr>
            <w:tcW w:w="88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41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湖南省</w:t>
            </w:r>
          </w:p>
        </w:tc>
        <w:tc>
          <w:tcPr>
            <w:tcW w:w="1096"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64" w:type="dxa"/>
            <w:vAlign w:val="center"/>
          </w:tcPr>
          <w:p>
            <w:pPr>
              <w:widowControl/>
              <w:jc w:val="left"/>
              <w:rPr>
                <w:rFonts w:ascii="宋体" w:hAnsi="宋体" w:cs="宋体"/>
                <w:color w:val="000000"/>
                <w:kern w:val="0"/>
                <w:sz w:val="20"/>
                <w:szCs w:val="20"/>
              </w:rPr>
            </w:pPr>
          </w:p>
        </w:tc>
        <w:tc>
          <w:tcPr>
            <w:tcW w:w="124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郴州市</w:t>
            </w:r>
          </w:p>
        </w:tc>
        <w:tc>
          <w:tcPr>
            <w:tcW w:w="1445"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10月31日</w:t>
            </w:r>
          </w:p>
        </w:tc>
        <w:tc>
          <w:tcPr>
            <w:tcW w:w="1532" w:type="dxa"/>
            <w:vAlign w:val="top"/>
          </w:tcPr>
          <w:p>
            <w:pPr>
              <w:jc w:val="center"/>
              <w:rPr>
                <w:rFonts w:ascii="宋体" w:hAnsi="宋体"/>
                <w:sz w:val="20"/>
                <w:szCs w:val="20"/>
              </w:rPr>
            </w:pPr>
            <w:r>
              <w:rPr>
                <w:rFonts w:hint="eastAsia" w:ascii="宋体" w:hAnsi="宋体" w:cs="宋体"/>
                <w:color w:val="000000"/>
                <w:kern w:val="0"/>
                <w:sz w:val="20"/>
                <w:szCs w:val="20"/>
              </w:rPr>
              <w:t>通过</w:t>
            </w:r>
          </w:p>
        </w:tc>
      </w:tr>
      <w:tr>
        <w:trPr>
          <w:trHeight w:val="280" w:hRule="atLeast"/>
          <w:jc w:val="center"/>
        </w:trPr>
        <w:tc>
          <w:tcPr>
            <w:tcW w:w="88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41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湖北省</w:t>
            </w:r>
          </w:p>
        </w:tc>
        <w:tc>
          <w:tcPr>
            <w:tcW w:w="1096"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164"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天门市、枣阳市</w:t>
            </w:r>
          </w:p>
        </w:tc>
        <w:tc>
          <w:tcPr>
            <w:tcW w:w="124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黄冈市</w:t>
            </w:r>
          </w:p>
        </w:tc>
        <w:tc>
          <w:tcPr>
            <w:tcW w:w="1445"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10月31日</w:t>
            </w:r>
          </w:p>
        </w:tc>
        <w:tc>
          <w:tcPr>
            <w:tcW w:w="1532" w:type="dxa"/>
            <w:vAlign w:val="top"/>
          </w:tcPr>
          <w:p>
            <w:pPr>
              <w:jc w:val="center"/>
              <w:rPr>
                <w:rFonts w:ascii="宋体" w:hAnsi="宋体"/>
                <w:sz w:val="20"/>
                <w:szCs w:val="20"/>
              </w:rPr>
            </w:pPr>
            <w:r>
              <w:rPr>
                <w:rFonts w:hint="eastAsia" w:ascii="宋体" w:hAnsi="宋体" w:cs="宋体"/>
                <w:color w:val="000000"/>
                <w:kern w:val="0"/>
                <w:sz w:val="20"/>
                <w:szCs w:val="20"/>
              </w:rPr>
              <w:t>通过</w:t>
            </w:r>
          </w:p>
        </w:tc>
      </w:tr>
      <w:tr>
        <w:trPr>
          <w:trHeight w:val="280" w:hRule="atLeast"/>
          <w:jc w:val="center"/>
        </w:trPr>
        <w:tc>
          <w:tcPr>
            <w:tcW w:w="88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41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安徽省</w:t>
            </w:r>
          </w:p>
        </w:tc>
        <w:tc>
          <w:tcPr>
            <w:tcW w:w="1096"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164"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天长市、郎溪县</w:t>
            </w:r>
          </w:p>
        </w:tc>
        <w:tc>
          <w:tcPr>
            <w:tcW w:w="124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宣城市</w:t>
            </w:r>
          </w:p>
        </w:tc>
        <w:tc>
          <w:tcPr>
            <w:tcW w:w="1445"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10月31日</w:t>
            </w:r>
          </w:p>
        </w:tc>
        <w:tc>
          <w:tcPr>
            <w:tcW w:w="1532" w:type="dxa"/>
            <w:vAlign w:val="top"/>
          </w:tcPr>
          <w:p>
            <w:pPr>
              <w:jc w:val="center"/>
              <w:rPr>
                <w:rFonts w:ascii="宋体" w:hAnsi="宋体"/>
                <w:sz w:val="20"/>
                <w:szCs w:val="20"/>
              </w:rPr>
            </w:pPr>
            <w:r>
              <w:rPr>
                <w:rFonts w:hint="eastAsia" w:ascii="宋体" w:hAnsi="宋体" w:cs="宋体"/>
                <w:color w:val="000000"/>
                <w:kern w:val="0"/>
                <w:sz w:val="20"/>
                <w:szCs w:val="20"/>
              </w:rPr>
              <w:t>通过</w:t>
            </w:r>
          </w:p>
        </w:tc>
      </w:tr>
      <w:tr>
        <w:trPr>
          <w:trHeight w:val="280" w:hRule="atLeast"/>
          <w:jc w:val="center"/>
        </w:trPr>
        <w:tc>
          <w:tcPr>
            <w:tcW w:w="88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41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辽宁省</w:t>
            </w:r>
          </w:p>
        </w:tc>
        <w:tc>
          <w:tcPr>
            <w:tcW w:w="1096"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64" w:type="dxa"/>
            <w:vAlign w:val="center"/>
          </w:tcPr>
          <w:p>
            <w:pPr>
              <w:widowControl/>
              <w:jc w:val="left"/>
              <w:rPr>
                <w:rFonts w:ascii="宋体" w:hAnsi="宋体" w:cs="宋体"/>
                <w:color w:val="000000"/>
                <w:kern w:val="0"/>
                <w:sz w:val="20"/>
                <w:szCs w:val="20"/>
              </w:rPr>
            </w:pPr>
          </w:p>
        </w:tc>
        <w:tc>
          <w:tcPr>
            <w:tcW w:w="124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锦州市</w:t>
            </w:r>
          </w:p>
        </w:tc>
        <w:tc>
          <w:tcPr>
            <w:tcW w:w="1445"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10月31日</w:t>
            </w:r>
          </w:p>
        </w:tc>
        <w:tc>
          <w:tcPr>
            <w:tcW w:w="1532" w:type="dxa"/>
            <w:vAlign w:val="top"/>
          </w:tcPr>
          <w:p>
            <w:pPr>
              <w:jc w:val="center"/>
              <w:rPr>
                <w:rFonts w:ascii="宋体" w:hAnsi="宋体"/>
                <w:sz w:val="20"/>
                <w:szCs w:val="20"/>
              </w:rPr>
            </w:pPr>
            <w:r>
              <w:rPr>
                <w:rFonts w:hint="eastAsia" w:ascii="宋体" w:hAnsi="宋体" w:cs="宋体"/>
                <w:color w:val="000000"/>
                <w:kern w:val="0"/>
                <w:sz w:val="20"/>
                <w:szCs w:val="20"/>
              </w:rPr>
              <w:t>通过</w:t>
            </w:r>
          </w:p>
        </w:tc>
      </w:tr>
      <w:tr>
        <w:trPr>
          <w:trHeight w:val="280" w:hRule="atLeast"/>
          <w:jc w:val="center"/>
        </w:trPr>
        <w:tc>
          <w:tcPr>
            <w:tcW w:w="88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41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内蒙古自治区</w:t>
            </w:r>
          </w:p>
        </w:tc>
        <w:tc>
          <w:tcPr>
            <w:tcW w:w="1096"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164"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达拉特旗、磴口县</w:t>
            </w:r>
          </w:p>
        </w:tc>
        <w:tc>
          <w:tcPr>
            <w:tcW w:w="124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呼和浩特市</w:t>
            </w:r>
          </w:p>
        </w:tc>
        <w:tc>
          <w:tcPr>
            <w:tcW w:w="1445"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10月31日</w:t>
            </w:r>
          </w:p>
        </w:tc>
        <w:tc>
          <w:tcPr>
            <w:tcW w:w="1532" w:type="dxa"/>
            <w:vAlign w:val="top"/>
          </w:tcPr>
          <w:p>
            <w:pPr>
              <w:jc w:val="center"/>
              <w:rPr>
                <w:rFonts w:ascii="宋体" w:hAnsi="宋体"/>
                <w:sz w:val="20"/>
                <w:szCs w:val="20"/>
              </w:rPr>
            </w:pPr>
            <w:r>
              <w:rPr>
                <w:rFonts w:hint="eastAsia" w:ascii="宋体" w:hAnsi="宋体" w:cs="宋体"/>
                <w:color w:val="000000"/>
                <w:kern w:val="0"/>
                <w:sz w:val="20"/>
                <w:szCs w:val="20"/>
              </w:rPr>
              <w:t>通过</w:t>
            </w:r>
          </w:p>
        </w:tc>
      </w:tr>
      <w:tr>
        <w:trPr>
          <w:trHeight w:val="280" w:hRule="atLeast"/>
          <w:jc w:val="center"/>
        </w:trPr>
        <w:tc>
          <w:tcPr>
            <w:tcW w:w="88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总计1</w:t>
            </w:r>
          </w:p>
        </w:tc>
        <w:tc>
          <w:tcPr>
            <w:tcW w:w="1418" w:type="dxa"/>
            <w:vAlign w:val="center"/>
          </w:tcPr>
          <w:p>
            <w:pPr>
              <w:widowControl/>
              <w:jc w:val="center"/>
              <w:rPr>
                <w:rFonts w:ascii="宋体" w:hAnsi="宋体" w:cs="宋体"/>
                <w:color w:val="000000"/>
                <w:kern w:val="0"/>
                <w:sz w:val="20"/>
                <w:szCs w:val="20"/>
              </w:rPr>
            </w:pPr>
          </w:p>
        </w:tc>
        <w:tc>
          <w:tcPr>
            <w:tcW w:w="1096"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w:t>
            </w:r>
          </w:p>
        </w:tc>
        <w:tc>
          <w:tcPr>
            <w:tcW w:w="2164"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124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445" w:type="dxa"/>
            <w:vAlign w:val="center"/>
          </w:tcPr>
          <w:p>
            <w:pPr>
              <w:widowControl/>
              <w:jc w:val="center"/>
              <w:rPr>
                <w:rFonts w:ascii="宋体" w:hAnsi="宋体" w:cs="宋体"/>
                <w:color w:val="000000"/>
                <w:kern w:val="0"/>
                <w:sz w:val="20"/>
                <w:szCs w:val="20"/>
              </w:rPr>
            </w:pPr>
          </w:p>
        </w:tc>
        <w:tc>
          <w:tcPr>
            <w:tcW w:w="1532" w:type="dxa"/>
            <w:vAlign w:val="top"/>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申报数量</w:t>
            </w:r>
          </w:p>
        </w:tc>
      </w:tr>
      <w:tr>
        <w:trPr>
          <w:trHeight w:val="280" w:hRule="atLeast"/>
          <w:jc w:val="center"/>
        </w:trPr>
        <w:tc>
          <w:tcPr>
            <w:tcW w:w="88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总计2</w:t>
            </w:r>
          </w:p>
        </w:tc>
        <w:tc>
          <w:tcPr>
            <w:tcW w:w="1418" w:type="dxa"/>
            <w:vAlign w:val="center"/>
          </w:tcPr>
          <w:p>
            <w:pPr>
              <w:widowControl/>
              <w:jc w:val="center"/>
              <w:rPr>
                <w:rFonts w:ascii="宋体" w:hAnsi="宋体" w:cs="宋体"/>
                <w:color w:val="000000"/>
                <w:kern w:val="0"/>
                <w:sz w:val="20"/>
                <w:szCs w:val="20"/>
              </w:rPr>
            </w:pPr>
          </w:p>
        </w:tc>
        <w:tc>
          <w:tcPr>
            <w:tcW w:w="1096"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w:t>
            </w:r>
          </w:p>
        </w:tc>
        <w:tc>
          <w:tcPr>
            <w:tcW w:w="2164"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124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445" w:type="dxa"/>
            <w:vAlign w:val="center"/>
          </w:tcPr>
          <w:p>
            <w:pPr>
              <w:widowControl/>
              <w:jc w:val="center"/>
              <w:rPr>
                <w:rFonts w:ascii="宋体" w:hAnsi="宋体" w:cs="宋体"/>
                <w:color w:val="000000"/>
                <w:kern w:val="0"/>
                <w:sz w:val="20"/>
                <w:szCs w:val="20"/>
              </w:rPr>
            </w:pPr>
          </w:p>
        </w:tc>
        <w:tc>
          <w:tcPr>
            <w:tcW w:w="1532" w:type="dxa"/>
            <w:vAlign w:val="top"/>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通过数量</w:t>
            </w:r>
          </w:p>
        </w:tc>
      </w:tr>
    </w:tbl>
    <w:p>
      <w:pPr>
        <w:widowControl/>
        <w:snapToGrid w:val="0"/>
        <w:rPr>
          <w:rFonts w:ascii="宋体" w:hAnsi="宋体"/>
          <w:kern w:val="0"/>
          <w:sz w:val="20"/>
          <w:szCs w:val="20"/>
        </w:rPr>
      </w:pPr>
      <w:r>
        <w:rPr>
          <w:rFonts w:hint="eastAsia" w:ascii="宋体" w:hAnsi="宋体"/>
          <w:kern w:val="0"/>
          <w:sz w:val="20"/>
          <w:szCs w:val="20"/>
        </w:rPr>
        <w:t>备注：1、本表按我局综合司收到申报文件的具体时间排序。</w:t>
      </w:r>
    </w:p>
    <w:p>
      <w:pPr>
        <w:widowControl/>
        <w:snapToGrid w:val="0"/>
        <w:ind w:firstLine="600" w:firstLineChars="300"/>
        <w:rPr>
          <w:rFonts w:ascii="宋体" w:hAnsi="宋体"/>
          <w:kern w:val="0"/>
          <w:sz w:val="20"/>
          <w:szCs w:val="20"/>
        </w:rPr>
      </w:pPr>
      <w:r>
        <w:rPr>
          <w:rFonts w:hint="eastAsia" w:ascii="宋体" w:hAnsi="宋体"/>
          <w:kern w:val="0"/>
          <w:sz w:val="20"/>
          <w:szCs w:val="20"/>
        </w:rPr>
        <w:t>2、总计1为全部申报基地数量，总计2为通过初步形式审查的基地数量。</w:t>
      </w:r>
    </w:p>
    <w:p>
      <w:pPr>
        <w:widowControl/>
        <w:snapToGrid w:val="0"/>
        <w:ind w:firstLine="600" w:firstLineChars="300"/>
        <w:rPr>
          <w:rFonts w:ascii="宋体" w:hAnsi="宋体"/>
          <w:kern w:val="0"/>
          <w:sz w:val="20"/>
          <w:szCs w:val="20"/>
        </w:rPr>
      </w:pPr>
      <w:r>
        <w:rPr>
          <w:rFonts w:hint="eastAsia" w:ascii="宋体" w:hAnsi="宋体"/>
          <w:kern w:val="0"/>
          <w:sz w:val="20"/>
          <w:szCs w:val="20"/>
        </w:rPr>
        <w:t>3、初步形式审查未通过的，不纳入基地优选。</w:t>
      </w:r>
    </w:p>
    <w:p>
      <w:pPr>
        <w:widowControl/>
        <w:snapToGrid w:val="0"/>
        <w:ind w:firstLine="600" w:firstLineChars="300"/>
        <w:rPr>
          <w:rFonts w:ascii="宋体" w:hAnsi="宋体"/>
          <w:kern w:val="0"/>
          <w:sz w:val="20"/>
          <w:szCs w:val="20"/>
        </w:rPr>
      </w:pPr>
      <w:r>
        <w:rPr>
          <w:rFonts w:hint="eastAsia" w:ascii="宋体" w:hAnsi="宋体"/>
          <w:kern w:val="0"/>
          <w:sz w:val="20"/>
          <w:szCs w:val="20"/>
        </w:rPr>
        <w:t>4、初步形式审查仅对相关省（自治区）发展改革委（能源局）上报文件时间、申报数量、申报规模是否符合要求以及弃光率是否明显不符合申报资格条件进行审查。</w:t>
      </w:r>
    </w:p>
    <w:p>
      <w:pPr>
        <w:widowControl/>
        <w:snapToGrid w:val="0"/>
        <w:ind w:firstLine="600" w:firstLineChars="300"/>
        <w:rPr>
          <w:rFonts w:ascii="宋体" w:hAnsi="宋体"/>
          <w:kern w:val="0"/>
          <w:sz w:val="20"/>
          <w:szCs w:val="20"/>
        </w:rPr>
      </w:pPr>
    </w:p>
    <w:p>
      <w:pPr>
        <w:jc w:val="center"/>
        <w:rPr>
          <w:rFonts w:ascii="仿宋_GB2312" w:hAnsi="Times New Roman" w:eastAsia="仿宋_GB2312"/>
          <w:sz w:val="32"/>
          <w:szCs w:val="32"/>
        </w:rPr>
      </w:pPr>
    </w:p>
    <w:sectPr>
      <w:headerReference r:id="rId5" w:type="first"/>
      <w:footerReference r:id="rId7" w:type="first"/>
      <w:headerReference r:id="rId4" w:type="default"/>
      <w:footerReference r:id="rId6" w:type="default"/>
      <w:pgSz w:w="11906" w:h="16838"/>
      <w:pgMar w:top="1440" w:right="1800" w:bottom="1440" w:left="1800" w:header="851" w:footer="992" w:gutter="0"/>
      <w:pgNumType w:start="3"/>
      <w:cols w:space="720" w:num="1"/>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fldChar w:fldCharType="begin"/>
    </w:r>
    <w:r>
      <w:instrText xml:space="preserve"> PAGE   \* MERGEFORMAT </w:instrText>
    </w:r>
    <w:r>
      <w:fldChar w:fldCharType="separate"/>
    </w:r>
    <w:r>
      <w:rPr>
        <w:lang w:val="zh-CN"/>
      </w:rPr>
      <w:t>4</w:t>
    </w:r>
    <w:r>
      <w:rPr>
        <w:lang w:val="zh-CN"/>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rPr>
        <w:rFonts w:hint="eastAsia"/>
      </w:rPr>
      <w:t>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semiHidden="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uiPriority w:val="1"/>
  </w:style>
  <w:style w:type="paragraph" w:styleId="2">
    <w:name w:val="Balloon Text"/>
    <w:basedOn w:val="1"/>
    <w:link w:val="7"/>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批注框文本 Char Char"/>
    <w:basedOn w:val="5"/>
    <w:link w:val="2"/>
    <w:uiPriority w:val="99"/>
    <w:rPr>
      <w:sz w:val="18"/>
      <w:szCs w:val="18"/>
    </w:rPr>
  </w:style>
  <w:style w:type="character" w:customStyle="1" w:styleId="8">
    <w:name w:val="页眉 Char Char"/>
    <w:basedOn w:val="5"/>
    <w:link w:val="4"/>
    <w:uiPriority w:val="99"/>
    <w:rPr>
      <w:sz w:val="18"/>
      <w:szCs w:val="18"/>
    </w:rPr>
  </w:style>
  <w:style w:type="character" w:customStyle="1" w:styleId="9">
    <w:name w:val="页脚 Char Char"/>
    <w:basedOn w:val="5"/>
    <w:link w:val="3"/>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国家能源局</Company>
  <Pages>4</Pages>
  <Words>268</Words>
  <Characters>1531</Characters>
  <Lines>12</Lines>
  <Paragraphs>3</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2017-11-01T05:54:00Z</dcterms:created>
  <dc:creator>kt</dc:creator>
  <cp:lastModifiedBy>goveditor</cp:lastModifiedBy>
  <cp:lastPrinted>2017-11-01T07:25:00Z</cp:lastPrinted>
  <dcterms:modified xsi:type="dcterms:W3CDTF">2017-11-06T01:32:00Z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