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spacing w:line="58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widowControl/>
        <w:overflowPunct w:val="0"/>
        <w:spacing w:line="588"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国家能源局关于进一步完善电力调度交易与市场秩序</w:t>
      </w:r>
    </w:p>
    <w:p>
      <w:pPr>
        <w:widowControl/>
        <w:overflowPunct w:val="0"/>
        <w:spacing w:line="588"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厂网联席会议制度的通知</w:t>
      </w:r>
    </w:p>
    <w:p>
      <w:pPr>
        <w:widowControl/>
        <w:overflowPunct w:val="0"/>
        <w:spacing w:line="588" w:lineRule="exact"/>
        <w:jc w:val="center"/>
        <w:rPr>
          <w:rFonts w:ascii="方正小标宋_GBK" w:eastAsia="方正小标宋_GBK"/>
          <w:kern w:val="0"/>
          <w:sz w:val="30"/>
          <w:szCs w:val="30"/>
        </w:rPr>
      </w:pPr>
      <w:r>
        <w:rPr>
          <w:rFonts w:hint="eastAsia" w:ascii="方正小标宋_GBK" w:hAnsi="方正小标宋简体" w:eastAsia="方正小标宋_GBK" w:cs="方正小标宋简体"/>
          <w:kern w:val="0"/>
          <w:sz w:val="36"/>
          <w:szCs w:val="36"/>
        </w:rPr>
        <w:t>（征求意见稿）</w:t>
      </w:r>
    </w:p>
    <w:p>
      <w:pPr>
        <w:widowControl/>
        <w:overflowPunct w:val="0"/>
        <w:spacing w:line="588" w:lineRule="exact"/>
        <w:jc w:val="center"/>
        <w:rPr>
          <w:rFonts w:eastAsia="方正黑体_GBK"/>
          <w:kern w:val="0"/>
          <w:sz w:val="30"/>
          <w:szCs w:val="30"/>
        </w:rPr>
      </w:pPr>
    </w:p>
    <w:p>
      <w:pPr>
        <w:widowControl/>
        <w:overflowPunct w:val="0"/>
        <w:spacing w:line="588" w:lineRule="exact"/>
        <w:rPr>
          <w:rFonts w:eastAsia="仿宋_GB2312"/>
          <w:kern w:val="0"/>
          <w:sz w:val="32"/>
          <w:szCs w:val="32"/>
        </w:rPr>
      </w:pPr>
      <w:r>
        <w:rPr>
          <w:rFonts w:eastAsia="仿宋_GB2312"/>
          <w:kern w:val="0"/>
          <w:sz w:val="32"/>
          <w:szCs w:val="32"/>
        </w:rPr>
        <w:t>各派出机构，国家电网</w:t>
      </w:r>
      <w:r>
        <w:rPr>
          <w:rFonts w:hint="eastAsia" w:eastAsia="仿宋_GB2312"/>
          <w:kern w:val="0"/>
          <w:sz w:val="32"/>
          <w:szCs w:val="32"/>
        </w:rPr>
        <w:t>有限</w:t>
      </w:r>
      <w:r>
        <w:rPr>
          <w:rFonts w:eastAsia="仿宋_GB2312"/>
          <w:kern w:val="0"/>
          <w:sz w:val="32"/>
          <w:szCs w:val="32"/>
        </w:rPr>
        <w:t>公司、南方电网公司，各有关电力企业：</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为适应电力体制改革需要，维护有序市场秩序，加强厂网信息交流，协调厂网关系，促进电网公平开</w:t>
      </w:r>
      <w:bookmarkStart w:id="0" w:name="_GoBack"/>
      <w:bookmarkEnd w:id="0"/>
      <w:r>
        <w:rPr>
          <w:rFonts w:eastAsia="仿宋_GB2312"/>
          <w:kern w:val="0"/>
          <w:sz w:val="32"/>
          <w:szCs w:val="32"/>
        </w:rPr>
        <w:t>放，</w:t>
      </w:r>
      <w:r>
        <w:rPr>
          <w:rFonts w:hint="eastAsia" w:eastAsia="仿宋_GB2312"/>
          <w:kern w:val="0"/>
          <w:sz w:val="32"/>
          <w:szCs w:val="32"/>
        </w:rPr>
        <w:t>规范电力调度交易与市场秩序，</w:t>
      </w:r>
      <w:r>
        <w:rPr>
          <w:rFonts w:hint="eastAsia" w:eastAsia="仿宋_GB2312"/>
          <w:kern w:val="0"/>
          <w:sz w:val="32"/>
          <w:szCs w:val="32"/>
          <w:lang w:eastAsia="zh-CN"/>
        </w:rPr>
        <w:t>根据《电力监管条例》及相关法律法规</w:t>
      </w:r>
      <w:r>
        <w:rPr>
          <w:rFonts w:eastAsia="仿宋_GB2312"/>
          <w:kern w:val="0"/>
          <w:sz w:val="32"/>
          <w:szCs w:val="32"/>
        </w:rPr>
        <w:t>，决定进一步</w:t>
      </w:r>
      <w:r>
        <w:rPr>
          <w:rFonts w:hint="eastAsia" w:eastAsia="仿宋_GB2312"/>
          <w:kern w:val="0"/>
          <w:sz w:val="32"/>
          <w:szCs w:val="32"/>
        </w:rPr>
        <w:t>完善</w:t>
      </w:r>
      <w:r>
        <w:rPr>
          <w:rFonts w:eastAsia="仿宋_GB2312"/>
          <w:kern w:val="0"/>
          <w:sz w:val="32"/>
          <w:szCs w:val="32"/>
        </w:rPr>
        <w:t>电力调度交易与市场秩序厂网联席会议制度。现就有关事项通知如下。</w:t>
      </w:r>
    </w:p>
    <w:p>
      <w:pPr>
        <w:widowControl/>
        <w:numPr>
          <w:ilvl w:val="0"/>
          <w:numId w:val="1"/>
        </w:numPr>
        <w:overflowPunct w:val="0"/>
        <w:spacing w:line="588" w:lineRule="exact"/>
        <w:ind w:firstLine="640" w:firstLineChars="200"/>
        <w:rPr>
          <w:rFonts w:ascii="黑体" w:hAnsi="黑体" w:eastAsia="黑体"/>
          <w:kern w:val="0"/>
          <w:sz w:val="32"/>
          <w:szCs w:val="32"/>
        </w:rPr>
      </w:pPr>
      <w:r>
        <w:rPr>
          <w:rFonts w:ascii="黑体" w:hAnsi="黑体" w:eastAsia="黑体"/>
          <w:kern w:val="0"/>
          <w:sz w:val="32"/>
          <w:szCs w:val="32"/>
        </w:rPr>
        <w:t>主要职责</w:t>
      </w:r>
    </w:p>
    <w:p>
      <w:pPr>
        <w:widowControl/>
        <w:overflowPunct w:val="0"/>
        <w:spacing w:line="588" w:lineRule="exact"/>
        <w:ind w:firstLine="640" w:firstLineChars="200"/>
        <w:rPr>
          <w:rFonts w:ascii="仿宋_GB2312" w:eastAsia="仿宋_GB2312"/>
          <w:kern w:val="0"/>
          <w:sz w:val="32"/>
          <w:szCs w:val="32"/>
        </w:rPr>
      </w:pPr>
      <w:r>
        <w:rPr>
          <w:rFonts w:hint="eastAsia" w:ascii="仿宋_GB2312" w:eastAsia="仿宋_GB2312"/>
          <w:kern w:val="0"/>
          <w:sz w:val="32"/>
          <w:szCs w:val="32"/>
        </w:rPr>
        <w:t>构建厂网之间信息发布、沟通、协调的平台。组织开展电力调度交易与市场秩序相关政策措施研究，通报电力市场监管工作开展、厂网界面生产经</w:t>
      </w:r>
      <w:r>
        <w:rPr>
          <w:rFonts w:hint="eastAsia" w:ascii="仿宋_GB2312" w:hAnsi="华文仿宋" w:eastAsia="仿宋_GB2312"/>
          <w:color w:val="000000"/>
          <w:kern w:val="0"/>
          <w:sz w:val="32"/>
          <w:szCs w:val="32"/>
        </w:rPr>
        <w:t>营等情况，协调厂网界面重大经济技术等方面</w:t>
      </w:r>
      <w:r>
        <w:rPr>
          <w:rFonts w:hint="eastAsia" w:ascii="仿宋_GB2312" w:eastAsia="仿宋_GB2312"/>
          <w:kern w:val="0"/>
          <w:sz w:val="32"/>
          <w:szCs w:val="32"/>
        </w:rPr>
        <w:t>问题，通报会议议定事项的落实情况。</w:t>
      </w:r>
    </w:p>
    <w:p>
      <w:pPr>
        <w:widowControl/>
        <w:numPr>
          <w:ilvl w:val="0"/>
          <w:numId w:val="1"/>
        </w:numPr>
        <w:overflowPunct w:val="0"/>
        <w:spacing w:line="588" w:lineRule="exact"/>
        <w:ind w:firstLine="640" w:firstLineChars="200"/>
        <w:rPr>
          <w:rFonts w:ascii="黑体" w:hAnsi="黑体" w:eastAsia="黑体"/>
          <w:kern w:val="0"/>
          <w:sz w:val="32"/>
          <w:szCs w:val="32"/>
        </w:rPr>
      </w:pPr>
      <w:r>
        <w:rPr>
          <w:rFonts w:ascii="黑体" w:hAnsi="黑体" w:eastAsia="黑体"/>
          <w:kern w:val="0"/>
          <w:sz w:val="32"/>
          <w:szCs w:val="32"/>
        </w:rPr>
        <w:t>组织及参加单位</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电力调度交易与市场秩序厂网联席会议</w:t>
      </w:r>
      <w:r>
        <w:rPr>
          <w:rFonts w:hint="eastAsia" w:eastAsia="仿宋_GB2312"/>
          <w:kern w:val="0"/>
          <w:sz w:val="32"/>
          <w:szCs w:val="32"/>
        </w:rPr>
        <w:t>（以下简称“</w:t>
      </w:r>
      <w:r>
        <w:rPr>
          <w:rFonts w:eastAsia="仿宋_GB2312"/>
          <w:kern w:val="0"/>
          <w:sz w:val="32"/>
          <w:szCs w:val="32"/>
        </w:rPr>
        <w:t>联席会议</w:t>
      </w:r>
      <w:r>
        <w:rPr>
          <w:rFonts w:hint="eastAsia" w:eastAsia="仿宋_GB2312"/>
          <w:kern w:val="0"/>
          <w:sz w:val="32"/>
          <w:szCs w:val="32"/>
        </w:rPr>
        <w:t>”）</w:t>
      </w:r>
      <w:r>
        <w:rPr>
          <w:rFonts w:eastAsia="仿宋_GB2312"/>
          <w:kern w:val="0"/>
          <w:sz w:val="32"/>
          <w:szCs w:val="32"/>
        </w:rPr>
        <w:t>由国家能源局派出机构（以下简称“能源监管机构”）组织召开，省（区、市）级以上电网企业、电力调度机构、电力交易机构及相关发电企业参加。相关售电企业、电力用户根据会议需要参加。</w:t>
      </w:r>
      <w:r>
        <w:rPr>
          <w:rFonts w:hint="eastAsia" w:eastAsia="仿宋_GB2312"/>
          <w:kern w:val="0"/>
          <w:sz w:val="32"/>
          <w:szCs w:val="32"/>
        </w:rPr>
        <w:t>会议可</w:t>
      </w:r>
      <w:r>
        <w:rPr>
          <w:rFonts w:eastAsia="仿宋_GB2312"/>
          <w:kern w:val="0"/>
          <w:sz w:val="32"/>
          <w:szCs w:val="32"/>
        </w:rPr>
        <w:t>邀请政府相关部门参加</w:t>
      </w:r>
      <w:r>
        <w:rPr>
          <w:rFonts w:hint="eastAsia" w:eastAsia="仿宋_GB2312"/>
          <w:kern w:val="0"/>
          <w:sz w:val="32"/>
          <w:szCs w:val="32"/>
        </w:rPr>
        <w:t>。</w:t>
      </w:r>
    </w:p>
    <w:p>
      <w:pPr>
        <w:widowControl/>
        <w:numPr>
          <w:ilvl w:val="0"/>
          <w:numId w:val="1"/>
        </w:numPr>
        <w:overflowPunct w:val="0"/>
        <w:spacing w:line="588" w:lineRule="exact"/>
        <w:ind w:firstLine="640" w:firstLineChars="200"/>
        <w:rPr>
          <w:rFonts w:ascii="黑体" w:hAnsi="黑体" w:eastAsia="黑体"/>
          <w:kern w:val="0"/>
          <w:sz w:val="32"/>
          <w:szCs w:val="32"/>
        </w:rPr>
      </w:pPr>
      <w:r>
        <w:rPr>
          <w:rFonts w:ascii="黑体" w:hAnsi="黑体" w:eastAsia="黑体"/>
          <w:kern w:val="0"/>
          <w:sz w:val="32"/>
          <w:szCs w:val="32"/>
        </w:rPr>
        <w:t>工作规则</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（一）联席会议应本着</w:t>
      </w:r>
      <w:r>
        <w:rPr>
          <w:rFonts w:hint="eastAsia" w:eastAsia="仿宋_GB2312"/>
          <w:kern w:val="0"/>
          <w:sz w:val="32"/>
          <w:szCs w:val="32"/>
        </w:rPr>
        <w:t>依法依规、</w:t>
      </w:r>
      <w:r>
        <w:rPr>
          <w:rFonts w:eastAsia="仿宋_GB2312"/>
          <w:kern w:val="0"/>
          <w:sz w:val="32"/>
          <w:szCs w:val="32"/>
        </w:rPr>
        <w:t>信息共享、平等协商、民主决策的原则，电力企业无论大小、所有权性质，在厂网联席会议中均享有平等的参与权、议事权。</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（二）联席会议根据工作需要召开，尽可能精简会议数量。如会议内容与信息发布会等相同，可以合并召开。原则上，联席会议每年至少召开1</w:t>
      </w:r>
      <w:r>
        <w:rPr>
          <w:rFonts w:hint="eastAsia" w:eastAsia="仿宋_GB2312"/>
          <w:kern w:val="0"/>
          <w:sz w:val="32"/>
          <w:szCs w:val="32"/>
        </w:rPr>
        <w:t>—</w:t>
      </w:r>
      <w:r>
        <w:rPr>
          <w:rFonts w:eastAsia="仿宋_GB2312"/>
          <w:kern w:val="0"/>
          <w:sz w:val="32"/>
          <w:szCs w:val="32"/>
        </w:rPr>
        <w:t>2次</w:t>
      </w:r>
      <w:r>
        <w:rPr>
          <w:rFonts w:hint="eastAsia" w:eastAsia="仿宋_GB2312"/>
          <w:kern w:val="0"/>
          <w:sz w:val="32"/>
          <w:szCs w:val="32"/>
        </w:rPr>
        <w:t>，</w:t>
      </w:r>
      <w:r>
        <w:rPr>
          <w:rFonts w:eastAsia="仿宋_GB2312"/>
          <w:kern w:val="0"/>
          <w:sz w:val="32"/>
          <w:szCs w:val="32"/>
        </w:rPr>
        <w:t>能源监管机构</w:t>
      </w:r>
      <w:r>
        <w:rPr>
          <w:rFonts w:hint="eastAsia" w:eastAsia="仿宋_GB2312"/>
          <w:kern w:val="0"/>
          <w:sz w:val="32"/>
          <w:szCs w:val="32"/>
        </w:rPr>
        <w:t>可根据实际情况适当调整</w:t>
      </w:r>
      <w:r>
        <w:rPr>
          <w:rFonts w:eastAsia="仿宋_GB2312"/>
          <w:kern w:val="0"/>
          <w:sz w:val="32"/>
          <w:szCs w:val="32"/>
        </w:rPr>
        <w:t>。</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（三）联席会议根据实际需要可以采取现场会议或电视电话会议等多种形式召开。</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（四）电网企业、电力调度机构、电力交易机构及相应并网发电企业应加强日常生产经营分析，遇有需要通过联席会议发布、沟通、协调事项，应及时向能源监管机构提交会议议题</w:t>
      </w:r>
      <w:r>
        <w:rPr>
          <w:rFonts w:hint="eastAsia" w:eastAsia="仿宋_GB2312"/>
          <w:kern w:val="0"/>
          <w:sz w:val="32"/>
          <w:szCs w:val="32"/>
        </w:rPr>
        <w:t>建议</w:t>
      </w:r>
      <w:r>
        <w:rPr>
          <w:rFonts w:eastAsia="仿宋_GB2312"/>
          <w:kern w:val="0"/>
          <w:sz w:val="32"/>
          <w:szCs w:val="32"/>
        </w:rPr>
        <w:t>及其他需要提供的资料。</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（五）相关电力企业应按照会议要求提前准备会议材料。</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（六）通报和协调事项主要包括以下内容：</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1.</w:t>
      </w:r>
      <w:r>
        <w:rPr>
          <w:rFonts w:hAnsi="仿宋_GB2312" w:eastAsia="仿宋_GB2312"/>
          <w:kern w:val="0"/>
          <w:sz w:val="32"/>
          <w:szCs w:val="32"/>
        </w:rPr>
        <w:t>国家出台的有关政策以及落实举措；</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2.</w:t>
      </w:r>
      <w:r>
        <w:rPr>
          <w:rFonts w:hAnsi="仿宋_GB2312" w:eastAsia="仿宋_GB2312"/>
          <w:kern w:val="0"/>
          <w:sz w:val="32"/>
          <w:szCs w:val="32"/>
        </w:rPr>
        <w:t>能源监管机构已出台、拟出台的电力市场等方面制度文件；</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3.</w:t>
      </w:r>
      <w:r>
        <w:rPr>
          <w:rFonts w:hAnsi="仿宋_GB2312" w:eastAsia="仿宋_GB2312"/>
          <w:kern w:val="0"/>
          <w:sz w:val="32"/>
          <w:szCs w:val="32"/>
        </w:rPr>
        <w:t>电力市场监管工作开展情况；</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4.</w:t>
      </w:r>
      <w:r>
        <w:rPr>
          <w:rFonts w:hAnsi="仿宋_GB2312" w:eastAsia="仿宋_GB2312"/>
          <w:kern w:val="0"/>
          <w:sz w:val="32"/>
          <w:szCs w:val="32"/>
        </w:rPr>
        <w:t>电力供需形势；</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5.</w:t>
      </w:r>
      <w:r>
        <w:rPr>
          <w:rFonts w:hAnsi="仿宋_GB2312" w:eastAsia="仿宋_GB2312"/>
          <w:kern w:val="0"/>
          <w:sz w:val="32"/>
          <w:szCs w:val="32"/>
        </w:rPr>
        <w:t>电网运行方式；</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6.</w:t>
      </w:r>
      <w:r>
        <w:rPr>
          <w:rFonts w:hAnsi="仿宋_GB2312" w:eastAsia="仿宋_GB2312"/>
          <w:kern w:val="0"/>
          <w:sz w:val="32"/>
          <w:szCs w:val="32"/>
        </w:rPr>
        <w:t>电力企业生产经营情况；</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7.</w:t>
      </w:r>
      <w:r>
        <w:rPr>
          <w:rFonts w:hAnsi="仿宋_GB2312" w:eastAsia="仿宋_GB2312"/>
          <w:kern w:val="0"/>
          <w:sz w:val="32"/>
          <w:szCs w:val="32"/>
        </w:rPr>
        <w:t>电力调度运行管理情况；</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8.</w:t>
      </w:r>
      <w:r>
        <w:rPr>
          <w:rFonts w:hAnsi="仿宋_GB2312" w:eastAsia="仿宋_GB2312"/>
          <w:kern w:val="0"/>
          <w:sz w:val="32"/>
          <w:szCs w:val="32"/>
        </w:rPr>
        <w:t>厂网电费结算情况；</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9.</w:t>
      </w:r>
      <w:r>
        <w:rPr>
          <w:rFonts w:hAnsi="仿宋_GB2312" w:eastAsia="仿宋_GB2312"/>
          <w:kern w:val="0"/>
          <w:sz w:val="32"/>
          <w:szCs w:val="32"/>
        </w:rPr>
        <w:t>电力市场相关工作开展情况；</w:t>
      </w:r>
    </w:p>
    <w:p>
      <w:pPr>
        <w:widowControl/>
        <w:overflowPunct w:val="0"/>
        <w:spacing w:line="588" w:lineRule="exact"/>
        <w:ind w:firstLine="640" w:firstLineChars="200"/>
        <w:rPr>
          <w:rFonts w:hAnsi="仿宋_GB2312" w:eastAsia="仿宋_GB2312"/>
          <w:kern w:val="0"/>
          <w:sz w:val="32"/>
          <w:szCs w:val="32"/>
        </w:rPr>
      </w:pPr>
      <w:r>
        <w:rPr>
          <w:rFonts w:eastAsia="仿宋_GB2312"/>
          <w:kern w:val="0"/>
          <w:sz w:val="32"/>
          <w:szCs w:val="32"/>
        </w:rPr>
        <w:t>10.</w:t>
      </w:r>
      <w:r>
        <w:rPr>
          <w:rFonts w:hAnsi="仿宋_GB2312" w:eastAsia="仿宋_GB2312"/>
          <w:kern w:val="0"/>
          <w:sz w:val="32"/>
          <w:szCs w:val="32"/>
        </w:rPr>
        <w:t>电力市场运营、交易</w:t>
      </w:r>
      <w:r>
        <w:rPr>
          <w:rFonts w:hint="eastAsia" w:hAnsi="仿宋_GB2312" w:eastAsia="仿宋_GB2312"/>
          <w:kern w:val="0"/>
          <w:sz w:val="32"/>
          <w:szCs w:val="32"/>
        </w:rPr>
        <w:t>（含跨省跨区交易信息等）</w:t>
      </w:r>
      <w:r>
        <w:rPr>
          <w:rFonts w:hAnsi="仿宋_GB2312" w:eastAsia="仿宋_GB2312"/>
          <w:kern w:val="0"/>
          <w:sz w:val="32"/>
          <w:szCs w:val="32"/>
        </w:rPr>
        <w:t>、结算相关问题</w:t>
      </w:r>
      <w:r>
        <w:rPr>
          <w:rFonts w:hint="eastAsia" w:hAnsi="仿宋_GB2312" w:eastAsia="仿宋_GB2312"/>
          <w:kern w:val="0"/>
          <w:sz w:val="32"/>
          <w:szCs w:val="32"/>
        </w:rPr>
        <w:t>，各类电力交易合同执行情况、基数合同偏差率等情况；</w:t>
      </w:r>
    </w:p>
    <w:p>
      <w:pPr>
        <w:widowControl/>
        <w:overflowPunct w:val="0"/>
        <w:spacing w:line="588" w:lineRule="exact"/>
        <w:ind w:firstLine="640" w:firstLineChars="200"/>
        <w:rPr>
          <w:rFonts w:eastAsia="仿宋_GB2312"/>
          <w:kern w:val="0"/>
          <w:sz w:val="32"/>
          <w:szCs w:val="32"/>
        </w:rPr>
      </w:pPr>
      <w:r>
        <w:rPr>
          <w:rFonts w:hint="eastAsia" w:hAnsi="仿宋_GB2312" w:eastAsia="仿宋_GB2312"/>
          <w:kern w:val="0"/>
          <w:sz w:val="32"/>
          <w:szCs w:val="32"/>
        </w:rPr>
        <w:t>11.清洁能源发展及消纳情况；</w:t>
      </w:r>
    </w:p>
    <w:p>
      <w:pPr>
        <w:widowControl/>
        <w:overflowPunct w:val="0"/>
        <w:spacing w:line="588" w:lineRule="exact"/>
        <w:ind w:firstLine="640" w:firstLineChars="200"/>
        <w:rPr>
          <w:rFonts w:hAnsi="仿宋_GB2312" w:eastAsia="仿宋_GB2312"/>
          <w:kern w:val="0"/>
          <w:sz w:val="32"/>
          <w:szCs w:val="32"/>
        </w:rPr>
      </w:pPr>
      <w:r>
        <w:rPr>
          <w:rFonts w:eastAsia="仿宋_GB2312"/>
          <w:kern w:val="0"/>
          <w:sz w:val="32"/>
          <w:szCs w:val="32"/>
        </w:rPr>
        <w:t>1</w:t>
      </w: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新建线路、变电站等投运情况及</w:t>
      </w:r>
      <w:r>
        <w:rPr>
          <w:rFonts w:hAnsi="仿宋_GB2312" w:eastAsia="仿宋_GB2312"/>
          <w:kern w:val="0"/>
          <w:sz w:val="32"/>
          <w:szCs w:val="32"/>
        </w:rPr>
        <w:t>新建电厂接入电网情况；</w:t>
      </w:r>
    </w:p>
    <w:p>
      <w:pPr>
        <w:widowControl/>
        <w:overflowPunct w:val="0"/>
        <w:spacing w:line="588" w:lineRule="exact"/>
        <w:ind w:firstLine="640" w:firstLineChars="200"/>
        <w:rPr>
          <w:rFonts w:eastAsia="仿宋_GB2312"/>
          <w:kern w:val="0"/>
          <w:sz w:val="32"/>
          <w:szCs w:val="32"/>
        </w:rPr>
      </w:pPr>
      <w:r>
        <w:rPr>
          <w:rFonts w:hint="eastAsia" w:hAnsi="仿宋_GB2312" w:eastAsia="仿宋_GB2312"/>
          <w:kern w:val="0"/>
          <w:sz w:val="32"/>
          <w:szCs w:val="32"/>
        </w:rPr>
        <w:t>13.并网发电厂运行考核和电力辅助服务实行相关情况；</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4</w:t>
      </w:r>
      <w:r>
        <w:rPr>
          <w:rFonts w:eastAsia="仿宋_GB2312"/>
          <w:kern w:val="0"/>
          <w:sz w:val="32"/>
          <w:szCs w:val="32"/>
        </w:rPr>
        <w:t>.</w:t>
      </w:r>
      <w:r>
        <w:rPr>
          <w:rFonts w:hAnsi="仿宋_GB2312" w:eastAsia="仿宋_GB2312"/>
          <w:kern w:val="0"/>
          <w:sz w:val="32"/>
          <w:szCs w:val="32"/>
        </w:rPr>
        <w:t>上次厂网联席会议议定事项的落实情况；</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5</w:t>
      </w:r>
      <w:r>
        <w:rPr>
          <w:rFonts w:eastAsia="仿宋_GB2312"/>
          <w:kern w:val="0"/>
          <w:sz w:val="32"/>
          <w:szCs w:val="32"/>
        </w:rPr>
        <w:t>.</w:t>
      </w:r>
      <w:r>
        <w:rPr>
          <w:rFonts w:hAnsi="仿宋_GB2312" w:eastAsia="仿宋_GB2312"/>
          <w:kern w:val="0"/>
          <w:sz w:val="32"/>
          <w:szCs w:val="32"/>
        </w:rPr>
        <w:t>其它需要通报或协调的事项。</w:t>
      </w:r>
    </w:p>
    <w:p>
      <w:pPr>
        <w:widowControl/>
        <w:numPr>
          <w:ilvl w:val="0"/>
          <w:numId w:val="1"/>
        </w:numPr>
        <w:overflowPunct w:val="0"/>
        <w:spacing w:line="588" w:lineRule="exact"/>
        <w:ind w:firstLine="640" w:firstLineChars="200"/>
        <w:rPr>
          <w:rFonts w:ascii="黑体" w:hAnsi="黑体" w:eastAsia="黑体"/>
          <w:kern w:val="0"/>
          <w:sz w:val="32"/>
          <w:szCs w:val="32"/>
        </w:rPr>
      </w:pPr>
      <w:r>
        <w:rPr>
          <w:rFonts w:ascii="黑体" w:hAnsi="黑体" w:eastAsia="黑体"/>
          <w:kern w:val="0"/>
          <w:sz w:val="32"/>
          <w:szCs w:val="32"/>
        </w:rPr>
        <w:t>有关要求</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（一）能源监管机构应加强对联席会议的组织工作，加强对厂网界面重大经济技术问题的研究协商，做好会前准备和会后督促落实工作。按规定收集、管理、披露厂网联席会议相关信息</w:t>
      </w:r>
      <w:r>
        <w:rPr>
          <w:rFonts w:hint="eastAsia" w:eastAsia="仿宋_GB2312"/>
          <w:kern w:val="0"/>
          <w:sz w:val="32"/>
          <w:szCs w:val="32"/>
        </w:rPr>
        <w:t>，及时将会议材料提供各参会单位。</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（二）能源监管机构应将联席会议反映的涉及系统运行和企业发展的重大问题及时报告国家能源局，各省（区、市）能源监管机构应同时抄送区域能源监管机构。</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（三）能源监管机构可根据工作需要和当地实际情况制定当地电力调度交易与市场秩序厂网联席会议制度。</w:t>
      </w:r>
    </w:p>
    <w:p>
      <w:pPr>
        <w:widowControl/>
        <w:numPr>
          <w:ilvl w:val="0"/>
          <w:numId w:val="1"/>
        </w:numPr>
        <w:overflowPunct w:val="0"/>
        <w:spacing w:line="588" w:lineRule="exact"/>
        <w:ind w:firstLine="640" w:firstLineChars="200"/>
        <w:rPr>
          <w:rFonts w:ascii="黑体" w:hAnsi="黑体" w:eastAsia="黑体"/>
          <w:kern w:val="0"/>
          <w:sz w:val="32"/>
          <w:szCs w:val="32"/>
        </w:rPr>
      </w:pPr>
      <w:r>
        <w:rPr>
          <w:rFonts w:ascii="黑体" w:hAnsi="黑体" w:eastAsia="黑体"/>
          <w:kern w:val="0"/>
          <w:sz w:val="32"/>
          <w:szCs w:val="32"/>
        </w:rPr>
        <w:t>其他</w:t>
      </w:r>
    </w:p>
    <w:p>
      <w:pPr>
        <w:widowControl/>
        <w:overflowPunct w:val="0"/>
        <w:spacing w:line="588" w:lineRule="exact"/>
        <w:ind w:firstLine="640" w:firstLineChars="200"/>
        <w:rPr>
          <w:rFonts w:eastAsia="仿宋_GB2312"/>
          <w:kern w:val="0"/>
          <w:sz w:val="32"/>
          <w:szCs w:val="32"/>
        </w:rPr>
      </w:pPr>
      <w:r>
        <w:rPr>
          <w:rFonts w:eastAsia="仿宋_GB2312"/>
          <w:kern w:val="0"/>
          <w:sz w:val="32"/>
          <w:szCs w:val="32"/>
        </w:rPr>
        <w:t>本通知印发后，《关于建立厂网联席会议制度的通知》（办市场函〔2006〕38号）、《关于进一步健全厂网联席会议制度的通知》（办市场〔2011〕22号）同时废止。</w:t>
      </w:r>
    </w:p>
    <w:sectPr>
      <w:headerReference r:id="rId4" w:type="default"/>
      <w:footerReference r:id="rId5" w:type="default"/>
      <w:pgSz w:w="11906" w:h="16838"/>
      <w:pgMar w:top="1928" w:right="1616" w:bottom="1474" w:left="161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0000000000000000000"/>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8914692">
    <w:nsid w:val="6BD1D904"/>
    <w:multiLevelType w:val="singleLevel"/>
    <w:tmpl w:val="6BD1D904"/>
    <w:lvl w:ilvl="0" w:tentative="1">
      <w:start w:val="1"/>
      <w:numFmt w:val="chineseCounting"/>
      <w:suff w:val="nothing"/>
      <w:lvlText w:val="%1、"/>
      <w:lvlJc w:val="left"/>
      <w:rPr>
        <w:rFonts w:hint="eastAsia"/>
      </w:rPr>
    </w:lvl>
  </w:abstractNum>
  <w:num w:numId="1">
    <w:abstractNumId w:val="18089146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Date"/>
    <w:basedOn w:val="1"/>
    <w:next w:val="1"/>
    <w:link w:val="9"/>
    <w:qFormat/>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character" w:customStyle="1" w:styleId="9">
    <w:name w:val="日期 字符"/>
    <w:link w:val="2"/>
    <w:uiPriority w:val="0"/>
    <w:rPr>
      <w:kern w:val="2"/>
      <w:sz w:val="21"/>
      <w:szCs w:val="24"/>
    </w:rPr>
  </w:style>
  <w:style w:type="character" w:customStyle="1" w:styleId="10">
    <w:name w:val="页脚 字符"/>
    <w:link w:val="4"/>
    <w:uiPriority w:val="0"/>
    <w:rPr>
      <w:kern w:val="2"/>
      <w:sz w:val="18"/>
      <w:szCs w:val="18"/>
    </w:rPr>
  </w:style>
  <w:style w:type="character" w:customStyle="1" w:styleId="11">
    <w:name w:val="页眉 字符"/>
    <w:link w:val="5"/>
    <w:uiPriority w:val="0"/>
    <w:rPr>
      <w:kern w:val="2"/>
      <w:sz w:val="18"/>
      <w:szCs w:val="18"/>
    </w:rPr>
  </w:style>
  <w:style w:type="character" w:customStyle="1" w:styleId="12">
    <w:name w:val="批注框文本 字符"/>
    <w:link w:val="3"/>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205</Words>
  <Characters>1175</Characters>
  <Lines>9</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2020-09-18T02:00:00Z</dcterms:created>
  <dc:creator>李伟</dc:creator>
  <cp:lastModifiedBy>Administrator</cp:lastModifiedBy>
  <cp:lastPrinted>2020-10-29T06:17:01Z</cp:lastPrinted>
  <dcterms:modified xsi:type="dcterms:W3CDTF">2020-10-29T06:17:04Z</dcterms:modified>
  <dc:title>华北区域厂网联席会议制度暂行办法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