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7A4A"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</w:p>
    <w:p w14:paraId="1AC0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  <w:t>行业标准修改通知单</w:t>
      </w:r>
    </w:p>
    <w:p w14:paraId="3765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华文中宋" w:cs="Times New Roman"/>
          <w:sz w:val="24"/>
          <w:highlight w:val="none"/>
        </w:rPr>
      </w:pPr>
      <w:r>
        <w:rPr>
          <w:rFonts w:hint="default" w:ascii="Times New Roman" w:hAnsi="Times New Roman" w:eastAsia="华文中宋" w:cs="Times New Roman"/>
          <w:sz w:val="24"/>
          <w:highlight w:val="none"/>
        </w:rPr>
        <w:t>NB/T 10</w:t>
      </w:r>
      <w:r>
        <w:rPr>
          <w:rFonts w:hint="default" w:ascii="Times New Roman" w:hAnsi="Times New Roman" w:eastAsia="华文中宋" w:cs="Times New Roman"/>
          <w:sz w:val="24"/>
          <w:highlight w:val="none"/>
          <w:lang w:val="en-US" w:eastAsia="zh-CN"/>
        </w:rPr>
        <w:t>862-</w:t>
      </w:r>
      <w:r>
        <w:rPr>
          <w:rFonts w:hint="default" w:ascii="Times New Roman" w:hAnsi="Times New Roman" w:eastAsia="华文中宋" w:cs="Times New Roman"/>
          <w:sz w:val="24"/>
          <w:highlight w:val="none"/>
        </w:rPr>
        <w:t>2021</w:t>
      </w:r>
    </w:p>
    <w:p w14:paraId="1B8D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华文中宋" w:cs="Times New Roman"/>
          <w:sz w:val="24"/>
          <w:highlight w:val="none"/>
        </w:rPr>
      </w:pPr>
      <w:r>
        <w:rPr>
          <w:rFonts w:hint="default" w:ascii="Times New Roman" w:hAnsi="Times New Roman" w:eastAsia="华文中宋" w:cs="Times New Roman"/>
          <w:sz w:val="24"/>
          <w:highlight w:val="none"/>
        </w:rPr>
        <w:t>《</w:t>
      </w:r>
      <w:r>
        <w:rPr>
          <w:rFonts w:hint="default" w:ascii="Times New Roman" w:hAnsi="Times New Roman" w:eastAsia="华文中宋" w:cs="Times New Roman"/>
          <w:sz w:val="24"/>
          <w:highlight w:val="none"/>
          <w:lang w:val="en-US" w:eastAsia="zh-CN"/>
        </w:rPr>
        <w:t>水电工程集运鱼系统设计规范</w:t>
      </w:r>
      <w:r>
        <w:rPr>
          <w:rFonts w:hint="default" w:ascii="Times New Roman" w:hAnsi="Times New Roman" w:eastAsia="华文中宋" w:cs="Times New Roman"/>
          <w:sz w:val="24"/>
          <w:highlight w:val="none"/>
        </w:rPr>
        <w:t>》</w:t>
      </w:r>
    </w:p>
    <w:p w14:paraId="075D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default" w:ascii="Times New Roman" w:hAnsi="Times New Roman" w:eastAsia="华文中宋" w:cs="Times New Roman"/>
          <w:sz w:val="24"/>
          <w:highlight w:val="none"/>
        </w:rPr>
      </w:pPr>
      <w:r>
        <w:rPr>
          <w:rFonts w:hint="default" w:ascii="Times New Roman" w:hAnsi="Times New Roman" w:eastAsia="华文中宋" w:cs="Times New Roman"/>
          <w:sz w:val="24"/>
          <w:highlight w:val="none"/>
        </w:rPr>
        <w:t>第</w:t>
      </w:r>
      <w:r>
        <w:rPr>
          <w:rFonts w:hint="default" w:ascii="Times New Roman" w:hAnsi="Times New Roman" w:eastAsia="华文中宋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sz w:val="24"/>
          <w:highlight w:val="none"/>
        </w:rPr>
        <w:t>号修改单</w:t>
      </w:r>
    </w:p>
    <w:p w14:paraId="19086D2D">
      <w:pPr>
        <w:ind w:firstLine="420" w:firstLineChars="200"/>
        <w:rPr>
          <w:rFonts w:hint="default" w:ascii="Times New Roman" w:hAnsi="Times New Roman" w:eastAsia="华文中宋" w:cs="Times New Roman"/>
          <w:highlight w:val="none"/>
        </w:rPr>
      </w:pPr>
      <w:r>
        <w:rPr>
          <w:rFonts w:hint="default" w:ascii="Times New Roman" w:hAnsi="Times New Roman" w:eastAsia="华文中宋" w:cs="Times New Roman"/>
          <w:highlight w:val="none"/>
        </w:rPr>
        <w:t>本修改单经国家能源局202</w:t>
      </w:r>
      <w:r>
        <w:rPr>
          <w:rFonts w:hint="default" w:ascii="Times New Roman" w:hAnsi="Times New Roman" w:eastAsia="华文中宋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highlight w:val="none"/>
        </w:rPr>
        <w:t>年</w:t>
      </w:r>
      <w:r>
        <w:rPr>
          <w:rFonts w:hint="default" w:ascii="Times New Roman" w:hAnsi="Times New Roman" w:eastAsia="华文中宋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eastAsia="华文中宋" w:cs="Times New Roman"/>
          <w:highlight w:val="none"/>
        </w:rPr>
        <w:t>月</w:t>
      </w:r>
      <w:r>
        <w:rPr>
          <w:rFonts w:hint="eastAsia" w:ascii="Times New Roman" w:hAnsi="Times New Roman" w:eastAsia="华文中宋" w:cs="Times New Roman"/>
          <w:highlight w:val="none"/>
          <w:lang w:val="en-US" w:eastAsia="zh-CN"/>
        </w:rPr>
        <w:t>30</w:t>
      </w:r>
      <w:r>
        <w:rPr>
          <w:rFonts w:hint="default" w:ascii="Times New Roman" w:hAnsi="Times New Roman" w:eastAsia="华文中宋" w:cs="Times New Roman"/>
          <w:highlight w:val="none"/>
        </w:rPr>
        <w:t>日以第</w:t>
      </w:r>
      <w:r>
        <w:rPr>
          <w:rFonts w:hint="eastAsia" w:ascii="Times New Roman" w:hAnsi="Times New Roman" w:eastAsia="华文中宋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highlight w:val="none"/>
        </w:rPr>
        <w:t>号公告批准，</w:t>
      </w:r>
      <w:r>
        <w:rPr>
          <w:rFonts w:hint="default" w:ascii="Times New Roman" w:hAnsi="Times New Roman" w:eastAsia="华文中宋" w:cs="Times New Roman"/>
          <w:b w:val="0"/>
          <w:bCs w:val="0"/>
          <w:sz w:val="21"/>
          <w:szCs w:val="21"/>
          <w:lang w:val="en-US" w:eastAsia="zh-CN"/>
        </w:rPr>
        <w:t>自发布之日起实施。</w:t>
      </w:r>
    </w:p>
    <w:p w14:paraId="4AB07711">
      <w:pPr>
        <w:ind w:firstLine="420" w:firstLineChars="200"/>
        <w:rPr>
          <w:rFonts w:hint="default" w:ascii="Times New Roman" w:hAnsi="Times New Roman" w:eastAsia="华文中宋" w:cs="Times New Roman"/>
          <w:highlight w:val="none"/>
        </w:rPr>
      </w:pPr>
      <w:r>
        <w:rPr>
          <w:rFonts w:hint="default" w:ascii="Times New Roman" w:hAnsi="Times New Roman" w:eastAsia="华文中宋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62865</wp:posOffset>
                </wp:positionV>
                <wp:extent cx="5442585" cy="6985"/>
                <wp:effectExtent l="0" t="6350" r="571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88060" y="2824480"/>
                          <a:ext cx="544258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.05pt;margin-top:4.95pt;height:0.55pt;width:428.55pt;z-index:251660288;mso-width-relative:page;mso-height-relative:page;" filled="f" stroked="t" coordsize="21600,21600" o:gfxdata="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vfNB9QAAAAHAQAADwAAAAAAAAABACAAAAAiAAAAZHJzL2Rvd25yZXYueG1sUEsB&#10;AhQAFAAAAAgAh07iQGipmmn5AQAAygMAAA4AAAAAAAAAAQAgAAAAIw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9621FE">
      <w:pPr>
        <w:rPr>
          <w:rFonts w:hint="default" w:ascii="Times New Roman" w:hAnsi="Times New Roman" w:eastAsia="方正黑体_GBK" w:cs="Times New Roman"/>
          <w:highlight w:val="none"/>
        </w:rPr>
      </w:pPr>
      <w:r>
        <w:rPr>
          <w:rFonts w:hint="default" w:ascii="Times New Roman" w:hAnsi="Times New Roman" w:eastAsia="方正黑体_GBK" w:cs="Times New Roman"/>
          <w:highlight w:val="none"/>
        </w:rPr>
        <w:t>更改：</w:t>
      </w:r>
    </w:p>
    <w:p w14:paraId="58A69A4D">
      <w:pPr>
        <w:numPr>
          <w:ilvl w:val="0"/>
          <w:numId w:val="1"/>
        </w:numPr>
        <w:ind w:firstLine="420" w:firstLineChars="20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第10.3.4条“......。电场强度应根据过鱼对象耐受性设计，供电电源可为220 V交流电源或220 V交流电经脉冲发生仪形成的直流脉冲电源。......。”修改为“......。电场强度应根据过鱼对象耐受性设计，供电电源可为由220 V交流或220 V直流电源经脉冲发生仪形成的直流脉冲电源。......。”</w:t>
      </w:r>
    </w:p>
    <w:p w14:paraId="33300F53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000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CD4A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CD4AD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5D7CB"/>
    <w:multiLevelType w:val="singleLevel"/>
    <w:tmpl w:val="DE65D7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DVjODg0NmVjMjVmZjFjMDEwN2NjNDY2N2YyMzAifQ=="/>
  </w:docVars>
  <w:rsids>
    <w:rsidRoot w:val="FDEF2BEC"/>
    <w:rsid w:val="FBF708B3"/>
    <w:rsid w:val="FDE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2025-06-27T17:34:00Z</dcterms:created>
  <dc:creator>user</dc:creator>
  <cp:lastModifiedBy>user</cp:lastModifiedBy>
  <dcterms:modified xsi:type="dcterms:W3CDTF">2025-07-03T11:24:11Z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3D6C1987A5DB65A526F55D681B619CF5_41</vt:lpwstr>
  </property>
</Properties>
</file>